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718C" w:rsidRDefault="00A62F58">
      <w:pPr>
        <w:spacing w:line="480" w:lineRule="exact"/>
        <w:jc w:val="center"/>
        <w:rPr>
          <w:rFonts w:ascii="SimSun" w:hAnsi="SimSun" w:cs="SimSun"/>
          <w:b/>
          <w:color w:val="000000"/>
          <w:sz w:val="36"/>
          <w:szCs w:val="36"/>
          <w:lang w:val="es-ES"/>
        </w:rPr>
      </w:pPr>
      <w:bookmarkStart w:id="0" w:name="_GoBack"/>
      <w:bookmarkEnd w:id="0"/>
      <w:r>
        <w:rPr>
          <w:b/>
          <w:sz w:val="36"/>
          <w:szCs w:val="36"/>
          <w:lang w:val="es-ES"/>
        </w:rPr>
        <w:t>Seminario sobre Cooperación en Estandarización para los Países Latinoamericanos y Caribeños</w:t>
      </w:r>
    </w:p>
    <w:p w:rsidR="00D3718C" w:rsidRDefault="00A62F58">
      <w:pPr>
        <w:spacing w:line="480" w:lineRule="exact"/>
        <w:jc w:val="center"/>
        <w:rPr>
          <w:rFonts w:ascii="SimSun" w:hAnsi="SimSun" w:cs="SimSun"/>
          <w:b/>
          <w:bCs/>
          <w:color w:val="000000"/>
          <w:sz w:val="32"/>
          <w:szCs w:val="32"/>
          <w:lang w:val="es-ES"/>
        </w:rPr>
      </w:pPr>
      <w:r>
        <w:rPr>
          <w:b/>
          <w:sz w:val="36"/>
          <w:szCs w:val="36"/>
          <w:lang w:val="es-ES"/>
        </w:rPr>
        <w:t>Descripción del Proyecto</w:t>
      </w:r>
    </w:p>
    <w:tbl>
      <w:tblPr>
        <w:tblW w:w="97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35"/>
        <w:gridCol w:w="2163"/>
        <w:gridCol w:w="1262"/>
        <w:gridCol w:w="1778"/>
        <w:gridCol w:w="3018"/>
      </w:tblGrid>
      <w:tr w:rsidR="00D3718C">
        <w:trPr>
          <w:trHeight w:val="576"/>
          <w:jc w:val="center"/>
        </w:trPr>
        <w:tc>
          <w:tcPr>
            <w:tcW w:w="1535" w:type="dxa"/>
            <w:vAlign w:val="center"/>
          </w:tcPr>
          <w:p w:rsidR="00D3718C" w:rsidRDefault="00A62F58">
            <w:pPr>
              <w:jc w:val="center"/>
              <w:rPr>
                <w:rFonts w:cs="SimSun"/>
                <w:bCs/>
                <w:color w:val="000000"/>
                <w:szCs w:val="21"/>
                <w:lang w:val="es-ES"/>
              </w:rPr>
            </w:pPr>
            <w:r>
              <w:rPr>
                <w:rFonts w:cs="SimSun"/>
                <w:bCs/>
                <w:color w:val="000000"/>
                <w:szCs w:val="21"/>
                <w:lang w:val="es-ES"/>
              </w:rPr>
              <w:t>Nombre Completo</w:t>
            </w:r>
          </w:p>
        </w:tc>
        <w:tc>
          <w:tcPr>
            <w:tcW w:w="8221" w:type="dxa"/>
            <w:gridSpan w:val="4"/>
            <w:vAlign w:val="center"/>
          </w:tcPr>
          <w:p w:rsidR="00D3718C" w:rsidRDefault="00A62F58">
            <w:pPr>
              <w:jc w:val="center"/>
              <w:rPr>
                <w:rFonts w:ascii="SimSun" w:hAnsi="SimSun" w:cs="SimSun"/>
                <w:bCs/>
                <w:color w:val="000000"/>
                <w:szCs w:val="21"/>
                <w:lang w:val="es-ES"/>
              </w:rPr>
            </w:pPr>
            <w:r>
              <w:rPr>
                <w:bCs/>
                <w:szCs w:val="21"/>
                <w:lang w:val="es-ES"/>
              </w:rPr>
              <w:t>Seminario sobre cooperación en estandarización para los países latinoamericanos y caribeños</w:t>
            </w:r>
          </w:p>
        </w:tc>
      </w:tr>
      <w:tr w:rsidR="00D3718C">
        <w:trPr>
          <w:trHeight w:val="568"/>
          <w:jc w:val="center"/>
        </w:trPr>
        <w:tc>
          <w:tcPr>
            <w:tcW w:w="1535" w:type="dxa"/>
            <w:vAlign w:val="center"/>
          </w:tcPr>
          <w:p w:rsidR="00D3718C" w:rsidRDefault="00A62F58">
            <w:pPr>
              <w:jc w:val="center"/>
              <w:rPr>
                <w:rFonts w:cs="SimSun"/>
                <w:bCs/>
                <w:color w:val="000000"/>
                <w:szCs w:val="21"/>
                <w:lang w:val="es-ES"/>
              </w:rPr>
            </w:pPr>
            <w:r>
              <w:rPr>
                <w:rFonts w:cs="SimSun"/>
                <w:bCs/>
                <w:color w:val="000000"/>
                <w:szCs w:val="21"/>
                <w:lang w:val="es-ES"/>
              </w:rPr>
              <w:t>Organizador</w:t>
            </w:r>
          </w:p>
        </w:tc>
        <w:tc>
          <w:tcPr>
            <w:tcW w:w="8221" w:type="dxa"/>
            <w:gridSpan w:val="4"/>
            <w:vAlign w:val="center"/>
          </w:tcPr>
          <w:p w:rsidR="00D3718C" w:rsidRDefault="00A62F58">
            <w:pPr>
              <w:jc w:val="center"/>
              <w:rPr>
                <w:rFonts w:ascii="SimSun" w:hAnsi="SimSun" w:cs="SimSun"/>
                <w:bCs/>
                <w:color w:val="000000"/>
                <w:szCs w:val="21"/>
                <w:lang w:val="es-ES"/>
              </w:rPr>
            </w:pPr>
            <w:r>
              <w:rPr>
                <w:szCs w:val="21"/>
                <w:lang w:val="es-ES"/>
              </w:rPr>
              <w:t>Instituto de Inspección y Cuarentena de Calidad de Jiangsu</w:t>
            </w:r>
            <w:r>
              <w:rPr>
                <w:bCs/>
                <w:color w:val="000000"/>
                <w:szCs w:val="21"/>
                <w:lang w:val="es-ES"/>
              </w:rPr>
              <w:t>（</w:t>
            </w:r>
            <w:r>
              <w:rPr>
                <w:bCs/>
                <w:color w:val="000000"/>
                <w:szCs w:val="21"/>
                <w:lang w:val="es-ES"/>
              </w:rPr>
              <w:t>Centro de Capacitación de Inspección de Mercancías de Jiangsu</w:t>
            </w:r>
            <w:r>
              <w:rPr>
                <w:bCs/>
                <w:color w:val="000000"/>
                <w:szCs w:val="21"/>
                <w:lang w:val="es-ES"/>
              </w:rPr>
              <w:t>）</w:t>
            </w:r>
          </w:p>
        </w:tc>
      </w:tr>
      <w:tr w:rsidR="00D3718C">
        <w:trPr>
          <w:trHeight w:val="568"/>
          <w:jc w:val="center"/>
        </w:trPr>
        <w:tc>
          <w:tcPr>
            <w:tcW w:w="1535" w:type="dxa"/>
            <w:vAlign w:val="center"/>
          </w:tcPr>
          <w:p w:rsidR="00D3718C" w:rsidRDefault="00A62F58">
            <w:pPr>
              <w:jc w:val="center"/>
              <w:rPr>
                <w:rFonts w:cs="SimSun"/>
                <w:bCs/>
                <w:color w:val="000000"/>
                <w:szCs w:val="21"/>
                <w:lang w:val="es-ES"/>
              </w:rPr>
            </w:pPr>
            <w:r>
              <w:rPr>
                <w:rFonts w:cs="SimSun"/>
                <w:bCs/>
                <w:color w:val="000000"/>
                <w:szCs w:val="21"/>
                <w:lang w:val="es-ES"/>
              </w:rPr>
              <w:t>Fecha</w:t>
            </w:r>
          </w:p>
        </w:tc>
        <w:tc>
          <w:tcPr>
            <w:tcW w:w="3425" w:type="dxa"/>
            <w:gridSpan w:val="2"/>
            <w:vAlign w:val="center"/>
          </w:tcPr>
          <w:p w:rsidR="00D3718C" w:rsidRDefault="00A62F58">
            <w:pPr>
              <w:autoSpaceDE w:val="0"/>
              <w:autoSpaceDN w:val="0"/>
              <w:adjustRightInd w:val="0"/>
              <w:spacing w:before="45" w:line="245" w:lineRule="exact"/>
              <w:ind w:left="15"/>
              <w:jc w:val="center"/>
              <w:rPr>
                <w:bCs/>
                <w:szCs w:val="21"/>
                <w:lang w:val="es-ES"/>
              </w:rPr>
            </w:pPr>
            <w:r>
              <w:rPr>
                <w:kern w:val="0"/>
                <w:szCs w:val="21"/>
                <w:lang w:val="es-ES"/>
              </w:rPr>
              <w:t>De 16 a 29 de septiembre de 2021</w:t>
            </w:r>
          </w:p>
        </w:tc>
        <w:tc>
          <w:tcPr>
            <w:tcW w:w="1778" w:type="dxa"/>
            <w:vAlign w:val="center"/>
          </w:tcPr>
          <w:p w:rsidR="00D3718C" w:rsidRDefault="00A62F58">
            <w:pPr>
              <w:jc w:val="center"/>
              <w:rPr>
                <w:bCs/>
                <w:color w:val="000000"/>
                <w:szCs w:val="21"/>
                <w:lang w:val="es-ES"/>
              </w:rPr>
            </w:pPr>
            <w:r>
              <w:rPr>
                <w:bCs/>
                <w:color w:val="000000"/>
                <w:szCs w:val="21"/>
                <w:lang w:val="es-ES"/>
              </w:rPr>
              <w:t>Idioma</w:t>
            </w:r>
          </w:p>
        </w:tc>
        <w:tc>
          <w:tcPr>
            <w:tcW w:w="3018" w:type="dxa"/>
            <w:vAlign w:val="center"/>
          </w:tcPr>
          <w:p w:rsidR="00D3718C" w:rsidRDefault="00A62F58">
            <w:pPr>
              <w:jc w:val="center"/>
              <w:rPr>
                <w:bCs/>
                <w:color w:val="000000"/>
                <w:szCs w:val="21"/>
                <w:lang w:val="es-ES"/>
              </w:rPr>
            </w:pPr>
            <w:r>
              <w:rPr>
                <w:bCs/>
                <w:color w:val="000000"/>
                <w:szCs w:val="21"/>
                <w:lang w:val="es-ES"/>
              </w:rPr>
              <w:t>Español</w:t>
            </w:r>
          </w:p>
        </w:tc>
      </w:tr>
      <w:tr w:rsidR="00D3718C">
        <w:trPr>
          <w:trHeight w:val="548"/>
          <w:jc w:val="center"/>
        </w:trPr>
        <w:tc>
          <w:tcPr>
            <w:tcW w:w="1535" w:type="dxa"/>
            <w:vAlign w:val="center"/>
          </w:tcPr>
          <w:p w:rsidR="00D3718C" w:rsidRDefault="00A62F58">
            <w:pPr>
              <w:pStyle w:val="Textocomentario"/>
              <w:jc w:val="center"/>
              <w:rPr>
                <w:rFonts w:cs="SimSun"/>
                <w:bCs/>
                <w:color w:val="000000"/>
                <w:szCs w:val="21"/>
                <w:lang w:val="es-ES"/>
              </w:rPr>
            </w:pPr>
            <w:r>
              <w:rPr>
                <w:rFonts w:cs="SimSun"/>
                <w:bCs/>
                <w:color w:val="000000"/>
                <w:szCs w:val="21"/>
                <w:lang w:val="es-ES"/>
              </w:rPr>
              <w:t>Países Invitados</w:t>
            </w:r>
          </w:p>
        </w:tc>
        <w:tc>
          <w:tcPr>
            <w:tcW w:w="3425" w:type="dxa"/>
            <w:gridSpan w:val="2"/>
            <w:vAlign w:val="center"/>
          </w:tcPr>
          <w:p w:rsidR="00D3718C" w:rsidRDefault="00A62F58">
            <w:pPr>
              <w:jc w:val="center"/>
              <w:rPr>
                <w:color w:val="000000"/>
                <w:szCs w:val="21"/>
                <w:lang w:val="es-ES"/>
              </w:rPr>
            </w:pPr>
            <w:r>
              <w:rPr>
                <w:color w:val="000000"/>
                <w:szCs w:val="21"/>
                <w:lang w:val="es-ES"/>
              </w:rPr>
              <w:t>Países Latinoamericanos y Caribeños</w:t>
            </w:r>
          </w:p>
        </w:tc>
        <w:tc>
          <w:tcPr>
            <w:tcW w:w="1778" w:type="dxa"/>
            <w:vAlign w:val="center"/>
          </w:tcPr>
          <w:p w:rsidR="00D3718C" w:rsidRDefault="00A62F58">
            <w:pPr>
              <w:jc w:val="center"/>
              <w:rPr>
                <w:color w:val="000000"/>
                <w:szCs w:val="21"/>
                <w:lang w:val="es-ES"/>
              </w:rPr>
            </w:pPr>
            <w:r>
              <w:rPr>
                <w:color w:val="000000"/>
                <w:szCs w:val="21"/>
                <w:lang w:val="es-ES"/>
              </w:rPr>
              <w:t>Número de Participantes Planeados</w:t>
            </w:r>
          </w:p>
        </w:tc>
        <w:tc>
          <w:tcPr>
            <w:tcW w:w="3018" w:type="dxa"/>
            <w:vAlign w:val="center"/>
          </w:tcPr>
          <w:p w:rsidR="00D3718C" w:rsidRDefault="00A62F58">
            <w:pPr>
              <w:jc w:val="center"/>
              <w:rPr>
                <w:color w:val="000000"/>
                <w:szCs w:val="21"/>
                <w:lang w:val="es-ES"/>
              </w:rPr>
            </w:pPr>
            <w:r>
              <w:rPr>
                <w:bCs/>
                <w:color w:val="000000"/>
                <w:szCs w:val="21"/>
                <w:lang w:val="es-ES"/>
              </w:rPr>
              <w:t>25</w:t>
            </w:r>
          </w:p>
        </w:tc>
      </w:tr>
      <w:tr w:rsidR="00D3718C">
        <w:trPr>
          <w:trHeight w:val="551"/>
          <w:jc w:val="center"/>
        </w:trPr>
        <w:tc>
          <w:tcPr>
            <w:tcW w:w="1535" w:type="dxa"/>
            <w:vAlign w:val="center"/>
          </w:tcPr>
          <w:p w:rsidR="00D3718C" w:rsidRDefault="00A62F58">
            <w:pPr>
              <w:jc w:val="center"/>
              <w:rPr>
                <w:rFonts w:cs="SimSun"/>
                <w:bCs/>
                <w:color w:val="000000"/>
                <w:szCs w:val="21"/>
                <w:lang w:val="es-ES"/>
              </w:rPr>
            </w:pPr>
            <w:r>
              <w:rPr>
                <w:rFonts w:cs="SimSun"/>
                <w:bCs/>
                <w:color w:val="000000"/>
                <w:szCs w:val="21"/>
                <w:lang w:val="es-ES"/>
              </w:rPr>
              <w:t>Objetivos de Capacitación</w:t>
            </w:r>
          </w:p>
        </w:tc>
        <w:tc>
          <w:tcPr>
            <w:tcW w:w="8221" w:type="dxa"/>
            <w:gridSpan w:val="4"/>
            <w:vAlign w:val="center"/>
          </w:tcPr>
          <w:p w:rsidR="00D3718C" w:rsidRDefault="00A62F58">
            <w:pPr>
              <w:rPr>
                <w:color w:val="000000"/>
                <w:szCs w:val="21"/>
                <w:lang w:val="es-ES"/>
              </w:rPr>
            </w:pPr>
            <w:r>
              <w:rPr>
                <w:color w:val="000000"/>
                <w:szCs w:val="21"/>
                <w:lang w:val="es-ES"/>
              </w:rPr>
              <w:t>Que los participantes conozcan el sistema de leyes, reglamentos y sistema de gestión de la estandarización</w:t>
            </w:r>
            <w:r>
              <w:rPr>
                <w:color w:val="000000"/>
                <w:szCs w:val="21"/>
                <w:lang w:val="es-419"/>
              </w:rPr>
              <w:t xml:space="preserve"> de China; sepan la posición y función de la estandarización en la construcción de infraestructuras, el desarrollo económico, social, cultura y comercio internacional; comprendan cómo aplicar la estandarización y promover el desarrollo de la infraestructura, la economía, la sociedad y el comercio internacional; profundicen la comprensión de los participantes de la importancia de la estandarización en el desarrollo nacional; al graduarse, los participantes presentarán sugerencias para el desarrollo de los países de América Latina y el Caribe sobre la base de los conocimientos adquiridos y la experiencia de sus trabajos de estandarización.</w:t>
            </w:r>
          </w:p>
        </w:tc>
      </w:tr>
      <w:tr w:rsidR="00D3718C">
        <w:trPr>
          <w:trHeight w:val="700"/>
          <w:jc w:val="center"/>
        </w:trPr>
        <w:tc>
          <w:tcPr>
            <w:tcW w:w="1535" w:type="dxa"/>
            <w:vMerge w:val="restart"/>
            <w:vAlign w:val="center"/>
          </w:tcPr>
          <w:p w:rsidR="00D3718C" w:rsidRDefault="00A62F58">
            <w:pPr>
              <w:jc w:val="center"/>
              <w:rPr>
                <w:rFonts w:cs="SimSun"/>
                <w:bCs/>
                <w:color w:val="000000"/>
                <w:szCs w:val="21"/>
                <w:lang w:val="es-ES"/>
              </w:rPr>
            </w:pPr>
            <w:r>
              <w:rPr>
                <w:rFonts w:cs="SimSun"/>
                <w:bCs/>
                <w:color w:val="000000"/>
                <w:szCs w:val="21"/>
                <w:lang w:val="es-ES"/>
              </w:rPr>
              <w:t>Sobre los Participantes</w:t>
            </w:r>
          </w:p>
        </w:tc>
        <w:tc>
          <w:tcPr>
            <w:tcW w:w="2163" w:type="dxa"/>
            <w:vAlign w:val="center"/>
          </w:tcPr>
          <w:p w:rsidR="00D3718C" w:rsidRDefault="00A62F58">
            <w:pPr>
              <w:pStyle w:val="Textocomentario"/>
              <w:jc w:val="center"/>
              <w:rPr>
                <w:bCs/>
                <w:color w:val="000000"/>
                <w:szCs w:val="21"/>
                <w:lang w:val="es-ES"/>
              </w:rPr>
            </w:pPr>
            <w:r>
              <w:rPr>
                <w:bCs/>
                <w:color w:val="000000"/>
                <w:szCs w:val="21"/>
                <w:lang w:val="es-ES"/>
              </w:rPr>
              <w:t>Antecedentes profesionales</w:t>
            </w:r>
          </w:p>
        </w:tc>
        <w:tc>
          <w:tcPr>
            <w:tcW w:w="6058" w:type="dxa"/>
            <w:gridSpan w:val="3"/>
            <w:vAlign w:val="center"/>
          </w:tcPr>
          <w:p w:rsidR="00D3718C" w:rsidRDefault="00A62F58">
            <w:pPr>
              <w:rPr>
                <w:lang w:val="es-ES"/>
              </w:rPr>
            </w:pPr>
            <w:r>
              <w:rPr>
                <w:rFonts w:ascii="SimSun" w:hAnsi="SimSun"/>
                <w:color w:val="000000"/>
                <w:szCs w:val="21"/>
                <w:lang w:val="es-ES"/>
              </w:rPr>
              <w:t xml:space="preserve">- </w:t>
            </w:r>
            <w:r>
              <w:rPr>
                <w:color w:val="000000"/>
                <w:szCs w:val="21"/>
                <w:lang w:val="es-ES"/>
              </w:rPr>
              <w:t>Esfera o profesión: Estandarización</w:t>
            </w:r>
          </w:p>
          <w:p w:rsidR="00D3718C" w:rsidRDefault="00A62F58">
            <w:pPr>
              <w:ind w:left="105" w:hangingChars="50" w:hanging="105"/>
              <w:rPr>
                <w:rFonts w:ascii="SimSun" w:hAnsi="SimSun"/>
                <w:lang w:val="es-ES"/>
              </w:rPr>
            </w:pPr>
            <w:r>
              <w:rPr>
                <w:rFonts w:ascii="SimSun" w:hAnsi="SimSun"/>
                <w:color w:val="000000"/>
                <w:szCs w:val="21"/>
                <w:lang w:val="es-ES"/>
              </w:rPr>
              <w:t xml:space="preserve">- </w:t>
            </w:r>
            <w:r>
              <w:rPr>
                <w:color w:val="000000"/>
                <w:szCs w:val="21"/>
                <w:lang w:val="es-ES"/>
              </w:rPr>
              <w:t>Posición de trabajo: funcionarios y trabajadores de departamentos, oficinas u organizaciones de estandarización</w:t>
            </w:r>
          </w:p>
        </w:tc>
      </w:tr>
      <w:tr w:rsidR="00D3718C">
        <w:trPr>
          <w:trHeight w:val="534"/>
          <w:jc w:val="center"/>
        </w:trPr>
        <w:tc>
          <w:tcPr>
            <w:tcW w:w="1535" w:type="dxa"/>
            <w:vMerge/>
            <w:vAlign w:val="center"/>
          </w:tcPr>
          <w:p w:rsidR="00D3718C" w:rsidRDefault="00D3718C">
            <w:pPr>
              <w:jc w:val="center"/>
              <w:rPr>
                <w:rFonts w:cs="SimSun"/>
                <w:bCs/>
                <w:color w:val="000000"/>
                <w:szCs w:val="21"/>
                <w:lang w:val="es-ES"/>
              </w:rPr>
            </w:pPr>
          </w:p>
        </w:tc>
        <w:tc>
          <w:tcPr>
            <w:tcW w:w="2163" w:type="dxa"/>
            <w:vAlign w:val="center"/>
          </w:tcPr>
          <w:p w:rsidR="00D3718C" w:rsidRDefault="00A62F58">
            <w:pPr>
              <w:pStyle w:val="Textocomentario"/>
              <w:jc w:val="center"/>
              <w:rPr>
                <w:bCs/>
                <w:color w:val="000000"/>
                <w:szCs w:val="21"/>
                <w:lang w:val="es-ES"/>
              </w:rPr>
            </w:pPr>
            <w:r>
              <w:rPr>
                <w:bCs/>
                <w:color w:val="000000"/>
                <w:szCs w:val="21"/>
                <w:lang w:val="es-ES"/>
              </w:rPr>
              <w:t>Edad</w:t>
            </w:r>
          </w:p>
        </w:tc>
        <w:tc>
          <w:tcPr>
            <w:tcW w:w="6058" w:type="dxa"/>
            <w:gridSpan w:val="3"/>
            <w:vAlign w:val="center"/>
          </w:tcPr>
          <w:p w:rsidR="00D3718C" w:rsidRDefault="00A62F58">
            <w:pPr>
              <w:rPr>
                <w:color w:val="000000"/>
                <w:szCs w:val="21"/>
                <w:lang w:val="es-ES"/>
              </w:rPr>
            </w:pPr>
            <w:r>
              <w:rPr>
                <w:color w:val="000000"/>
                <w:szCs w:val="21"/>
                <w:lang w:val="es-ES"/>
              </w:rPr>
              <w:t>No sobrepasa la edad de jubilación de los países participantes</w:t>
            </w:r>
          </w:p>
        </w:tc>
      </w:tr>
      <w:tr w:rsidR="00D3718C">
        <w:trPr>
          <w:trHeight w:val="599"/>
          <w:jc w:val="center"/>
        </w:trPr>
        <w:tc>
          <w:tcPr>
            <w:tcW w:w="1535" w:type="dxa"/>
            <w:vMerge/>
            <w:vAlign w:val="center"/>
          </w:tcPr>
          <w:p w:rsidR="00D3718C" w:rsidRDefault="00D3718C">
            <w:pPr>
              <w:jc w:val="center"/>
              <w:rPr>
                <w:rFonts w:cs="SimSun"/>
                <w:bCs/>
                <w:color w:val="000000"/>
                <w:szCs w:val="21"/>
                <w:lang w:val="es-ES"/>
              </w:rPr>
            </w:pPr>
          </w:p>
        </w:tc>
        <w:tc>
          <w:tcPr>
            <w:tcW w:w="2163" w:type="dxa"/>
            <w:vAlign w:val="center"/>
          </w:tcPr>
          <w:p w:rsidR="00D3718C" w:rsidRDefault="00A62F58">
            <w:pPr>
              <w:jc w:val="center"/>
              <w:rPr>
                <w:bCs/>
                <w:color w:val="000000"/>
                <w:szCs w:val="21"/>
                <w:lang w:val="es-ES"/>
              </w:rPr>
            </w:pPr>
            <w:r>
              <w:rPr>
                <w:bCs/>
                <w:color w:val="000000"/>
                <w:szCs w:val="21"/>
                <w:lang w:val="es-ES"/>
              </w:rPr>
              <w:t>Salud</w:t>
            </w:r>
          </w:p>
        </w:tc>
        <w:tc>
          <w:tcPr>
            <w:tcW w:w="6058" w:type="dxa"/>
            <w:gridSpan w:val="3"/>
            <w:vAlign w:val="center"/>
          </w:tcPr>
          <w:p w:rsidR="00D3718C" w:rsidRDefault="00A62F58">
            <w:pPr>
              <w:rPr>
                <w:color w:val="000000"/>
                <w:szCs w:val="21"/>
                <w:lang w:val="es-ES"/>
              </w:rPr>
            </w:pPr>
            <w:r>
              <w:rPr>
                <w:color w:val="000000"/>
                <w:szCs w:val="21"/>
                <w:lang w:val="es-ES"/>
              </w:rPr>
              <w:t>Ser capaz de asistir a cursos de capacitación en línea a tiempo</w:t>
            </w:r>
          </w:p>
        </w:tc>
      </w:tr>
      <w:tr w:rsidR="00D3718C">
        <w:trPr>
          <w:trHeight w:val="551"/>
          <w:jc w:val="center"/>
        </w:trPr>
        <w:tc>
          <w:tcPr>
            <w:tcW w:w="1535" w:type="dxa"/>
            <w:vMerge/>
            <w:vAlign w:val="center"/>
          </w:tcPr>
          <w:p w:rsidR="00D3718C" w:rsidRDefault="00D3718C">
            <w:pPr>
              <w:jc w:val="center"/>
              <w:rPr>
                <w:rFonts w:cs="SimSun"/>
                <w:bCs/>
                <w:color w:val="000000"/>
                <w:szCs w:val="21"/>
                <w:lang w:val="es-ES"/>
              </w:rPr>
            </w:pPr>
          </w:p>
        </w:tc>
        <w:tc>
          <w:tcPr>
            <w:tcW w:w="2163" w:type="dxa"/>
            <w:vAlign w:val="center"/>
          </w:tcPr>
          <w:p w:rsidR="00D3718C" w:rsidRDefault="00A62F58">
            <w:pPr>
              <w:jc w:val="center"/>
              <w:rPr>
                <w:bCs/>
                <w:color w:val="000000"/>
                <w:szCs w:val="21"/>
                <w:lang w:val="es-ES"/>
              </w:rPr>
            </w:pPr>
            <w:r>
              <w:rPr>
                <w:bCs/>
                <w:color w:val="000000"/>
                <w:szCs w:val="21"/>
                <w:lang w:val="es-ES"/>
              </w:rPr>
              <w:t>Competencia Lingüística</w:t>
            </w:r>
          </w:p>
        </w:tc>
        <w:tc>
          <w:tcPr>
            <w:tcW w:w="6058" w:type="dxa"/>
            <w:gridSpan w:val="3"/>
            <w:vAlign w:val="center"/>
          </w:tcPr>
          <w:p w:rsidR="00D3718C" w:rsidRDefault="00A62F58">
            <w:pPr>
              <w:rPr>
                <w:color w:val="000000"/>
                <w:szCs w:val="21"/>
                <w:lang w:val="es-ES"/>
              </w:rPr>
            </w:pPr>
            <w:r>
              <w:rPr>
                <w:color w:val="000000"/>
                <w:szCs w:val="21"/>
                <w:lang w:val="es-ES"/>
              </w:rPr>
              <w:t>Los participantes deben ser capaces de escuchar, hablar, leer y escribir con el idioma español</w:t>
            </w:r>
          </w:p>
        </w:tc>
      </w:tr>
      <w:tr w:rsidR="00D3718C">
        <w:trPr>
          <w:trHeight w:val="559"/>
          <w:jc w:val="center"/>
        </w:trPr>
        <w:tc>
          <w:tcPr>
            <w:tcW w:w="1535" w:type="dxa"/>
            <w:vMerge/>
            <w:vAlign w:val="center"/>
          </w:tcPr>
          <w:p w:rsidR="00D3718C" w:rsidRDefault="00D3718C">
            <w:pPr>
              <w:jc w:val="center"/>
              <w:rPr>
                <w:rFonts w:cs="SimSun"/>
                <w:bCs/>
                <w:color w:val="000000"/>
                <w:szCs w:val="21"/>
                <w:lang w:val="es-ES"/>
              </w:rPr>
            </w:pPr>
          </w:p>
        </w:tc>
        <w:tc>
          <w:tcPr>
            <w:tcW w:w="2163" w:type="dxa"/>
            <w:vAlign w:val="center"/>
          </w:tcPr>
          <w:p w:rsidR="00D3718C" w:rsidRDefault="00A62F58">
            <w:pPr>
              <w:jc w:val="center"/>
              <w:rPr>
                <w:bCs/>
                <w:color w:val="000000"/>
                <w:szCs w:val="21"/>
                <w:lang w:val="es-ES"/>
              </w:rPr>
            </w:pPr>
            <w:r>
              <w:rPr>
                <w:bCs/>
                <w:color w:val="000000"/>
                <w:szCs w:val="21"/>
                <w:lang w:val="es-ES"/>
              </w:rPr>
              <w:t>Otros</w:t>
            </w:r>
          </w:p>
        </w:tc>
        <w:tc>
          <w:tcPr>
            <w:tcW w:w="6058" w:type="dxa"/>
            <w:gridSpan w:val="3"/>
            <w:vAlign w:val="center"/>
          </w:tcPr>
          <w:p w:rsidR="00D3718C" w:rsidRDefault="00A62F58">
            <w:pPr>
              <w:rPr>
                <w:color w:val="000000"/>
                <w:szCs w:val="21"/>
                <w:lang w:val="es-ES"/>
              </w:rPr>
            </w:pPr>
            <w:r>
              <w:rPr>
                <w:color w:val="000000"/>
                <w:szCs w:val="21"/>
                <w:lang w:val="es-ES"/>
              </w:rPr>
              <w:t>Ser capaz de utilizar ZOOM para completar el estudio del proyecto</w:t>
            </w:r>
          </w:p>
        </w:tc>
      </w:tr>
      <w:tr w:rsidR="00D3718C">
        <w:trPr>
          <w:trHeight w:val="696"/>
          <w:jc w:val="center"/>
        </w:trPr>
        <w:tc>
          <w:tcPr>
            <w:tcW w:w="1535" w:type="dxa"/>
            <w:vAlign w:val="center"/>
          </w:tcPr>
          <w:p w:rsidR="00D3718C" w:rsidRDefault="00A62F58">
            <w:pPr>
              <w:jc w:val="center"/>
              <w:rPr>
                <w:rFonts w:cs="SimSun"/>
                <w:bCs/>
                <w:color w:val="000000"/>
                <w:szCs w:val="21"/>
                <w:lang w:val="es-ES"/>
              </w:rPr>
            </w:pPr>
            <w:r>
              <w:rPr>
                <w:rFonts w:cs="SimSun" w:hint="eastAsia"/>
                <w:bCs/>
                <w:color w:val="000000"/>
                <w:szCs w:val="21"/>
                <w:lang w:val="es-ES"/>
              </w:rPr>
              <w:t>I</w:t>
            </w:r>
            <w:r>
              <w:rPr>
                <w:rFonts w:cs="SimSun"/>
                <w:bCs/>
                <w:color w:val="000000"/>
                <w:szCs w:val="21"/>
                <w:lang w:val="es-ES"/>
              </w:rPr>
              <w:t>ntroducción a los principales cursos del seminario</w:t>
            </w:r>
          </w:p>
        </w:tc>
        <w:tc>
          <w:tcPr>
            <w:tcW w:w="8221" w:type="dxa"/>
            <w:gridSpan w:val="4"/>
            <w:vAlign w:val="center"/>
          </w:tcPr>
          <w:p w:rsidR="00D3718C" w:rsidRDefault="00A62F58">
            <w:pPr>
              <w:pStyle w:val="Textocomentario"/>
              <w:jc w:val="both"/>
              <w:rPr>
                <w:b/>
                <w:bCs/>
                <w:color w:val="000000"/>
                <w:szCs w:val="21"/>
                <w:lang w:val="es-419"/>
              </w:rPr>
            </w:pPr>
            <w:r>
              <w:rPr>
                <w:b/>
                <w:bCs/>
                <w:color w:val="000000"/>
                <w:szCs w:val="21"/>
                <w:lang w:val="es-ES"/>
              </w:rPr>
              <w:t>1.</w:t>
            </w:r>
            <w:r>
              <w:rPr>
                <w:rFonts w:hint="eastAsia"/>
                <w:b/>
                <w:bCs/>
                <w:color w:val="000000"/>
                <w:szCs w:val="21"/>
                <w:lang w:val="es-ES"/>
              </w:rPr>
              <w:t xml:space="preserve"> </w:t>
            </w:r>
            <w:r>
              <w:rPr>
                <w:b/>
                <w:bCs/>
                <w:color w:val="000000"/>
                <w:szCs w:val="21"/>
                <w:lang w:val="es-419"/>
              </w:rPr>
              <w:t>Introducción a los principales cursos del seminario</w:t>
            </w:r>
          </w:p>
          <w:p w:rsidR="00D3718C" w:rsidRDefault="00A62F58">
            <w:pPr>
              <w:pStyle w:val="Textocomentario"/>
              <w:jc w:val="both"/>
              <w:rPr>
                <w:color w:val="000000"/>
                <w:szCs w:val="21"/>
                <w:lang w:val="es-ES"/>
              </w:rPr>
            </w:pPr>
            <w:r>
              <w:rPr>
                <w:bCs/>
                <w:color w:val="000000"/>
                <w:szCs w:val="21"/>
                <w:lang w:val="es-ES"/>
              </w:rPr>
              <w:t xml:space="preserve">(1) </w:t>
            </w:r>
            <w:r>
              <w:rPr>
                <w:rFonts w:hint="eastAsia"/>
                <w:bCs/>
                <w:color w:val="000000"/>
                <w:szCs w:val="21"/>
                <w:lang w:val="es-ES"/>
              </w:rPr>
              <w:t>S</w:t>
            </w:r>
            <w:r>
              <w:rPr>
                <w:bCs/>
                <w:color w:val="000000"/>
                <w:szCs w:val="21"/>
                <w:lang w:val="es-ES"/>
              </w:rPr>
              <w:t>ituación nacional de China: se introduce el desarrollo político, económico, social y cultural de China</w:t>
            </w:r>
            <w:r>
              <w:rPr>
                <w:color w:val="000000"/>
                <w:szCs w:val="21"/>
                <w:lang w:val="es-ES"/>
              </w:rPr>
              <w:t>；</w:t>
            </w:r>
          </w:p>
          <w:p w:rsidR="00D3718C" w:rsidRDefault="00A62F58">
            <w:pPr>
              <w:pStyle w:val="Textocomentario"/>
              <w:jc w:val="both"/>
              <w:rPr>
                <w:bCs/>
                <w:color w:val="000000"/>
                <w:szCs w:val="21"/>
                <w:lang w:val="es-ES"/>
              </w:rPr>
            </w:pPr>
            <w:r>
              <w:rPr>
                <w:rFonts w:hint="eastAsia"/>
                <w:bCs/>
                <w:color w:val="000000"/>
                <w:szCs w:val="21"/>
                <w:lang w:val="es-ES"/>
              </w:rPr>
              <w:t>(</w:t>
            </w:r>
            <w:r>
              <w:rPr>
                <w:bCs/>
                <w:color w:val="000000"/>
                <w:szCs w:val="21"/>
                <w:lang w:val="es-ES"/>
              </w:rPr>
              <w:t xml:space="preserve">2) </w:t>
            </w:r>
            <w:r>
              <w:rPr>
                <w:bCs/>
                <w:color w:val="000000"/>
                <w:szCs w:val="21"/>
                <w:lang w:val="es-419"/>
              </w:rPr>
              <w:t>Introducción de la estandarización de China: presentar el sistema jurídico y reglamentario, el sistema de gestión y el sistema técnico de estandarización de China, la cooperación entre China y la Organización Internacional de Estandarización (ISO), y la cooperación internacional en materia de estandarización de China;</w:t>
            </w:r>
          </w:p>
          <w:p w:rsidR="00D3718C" w:rsidRDefault="00A62F58">
            <w:pPr>
              <w:pStyle w:val="Textocomentario"/>
              <w:jc w:val="both"/>
              <w:rPr>
                <w:bCs/>
                <w:color w:val="000000"/>
                <w:szCs w:val="21"/>
                <w:lang w:val="es-ES"/>
              </w:rPr>
            </w:pPr>
            <w:r>
              <w:rPr>
                <w:rFonts w:hint="eastAsia"/>
                <w:bCs/>
                <w:color w:val="000000"/>
                <w:szCs w:val="21"/>
                <w:lang w:val="es-ES"/>
              </w:rPr>
              <w:t>(</w:t>
            </w:r>
            <w:r>
              <w:rPr>
                <w:bCs/>
                <w:color w:val="000000"/>
                <w:szCs w:val="21"/>
                <w:lang w:val="es-ES"/>
              </w:rPr>
              <w:t xml:space="preserve">3) </w:t>
            </w:r>
            <w:r>
              <w:rPr>
                <w:rFonts w:hint="eastAsia"/>
                <w:bCs/>
                <w:color w:val="000000"/>
                <w:szCs w:val="21"/>
                <w:lang w:val="es-ES"/>
              </w:rPr>
              <w:t>I</w:t>
            </w:r>
            <w:r>
              <w:rPr>
                <w:bCs/>
                <w:color w:val="000000"/>
                <w:szCs w:val="21"/>
                <w:lang w:val="es-ES"/>
              </w:rPr>
              <w:t>ntroducción a la experiencia de la prevención y el control de la Covid-19 en China: compartir e introducir la experiencia de la prevención y el control de la Covid-19 de China;</w:t>
            </w:r>
          </w:p>
          <w:p w:rsidR="00D3718C" w:rsidRDefault="00A62F58">
            <w:pPr>
              <w:pStyle w:val="Textocomentario"/>
              <w:jc w:val="both"/>
              <w:rPr>
                <w:color w:val="000000"/>
                <w:szCs w:val="21"/>
                <w:lang w:val="es-ES"/>
              </w:rPr>
            </w:pPr>
            <w:r>
              <w:rPr>
                <w:rFonts w:hint="eastAsia"/>
                <w:color w:val="000000"/>
                <w:szCs w:val="21"/>
                <w:lang w:val="es-ES"/>
              </w:rPr>
              <w:t>(</w:t>
            </w:r>
            <w:r>
              <w:rPr>
                <w:color w:val="000000"/>
                <w:szCs w:val="21"/>
                <w:lang w:val="es-ES"/>
              </w:rPr>
              <w:t xml:space="preserve">4) </w:t>
            </w:r>
            <w:r>
              <w:rPr>
                <w:rFonts w:hint="eastAsia"/>
                <w:color w:val="000000"/>
                <w:szCs w:val="21"/>
                <w:lang w:val="es-ES"/>
              </w:rPr>
              <w:t>I</w:t>
            </w:r>
            <w:r>
              <w:rPr>
                <w:color w:val="000000"/>
                <w:szCs w:val="21"/>
                <w:lang w:val="es-ES"/>
              </w:rPr>
              <w:t>ntroducción a la estandarización de los hermosos pueblos de China: introducir la construcción y estandarización de los hermosos pueblos de China y sus logros;</w:t>
            </w:r>
          </w:p>
          <w:p w:rsidR="00D3718C" w:rsidRDefault="00A62F58">
            <w:pPr>
              <w:pStyle w:val="Textocomentario"/>
              <w:jc w:val="both"/>
              <w:rPr>
                <w:bCs/>
                <w:color w:val="000000"/>
                <w:szCs w:val="21"/>
                <w:lang w:val="es-ES"/>
              </w:rPr>
            </w:pPr>
            <w:r>
              <w:rPr>
                <w:rFonts w:hint="eastAsia"/>
                <w:color w:val="000000"/>
                <w:szCs w:val="21"/>
                <w:lang w:val="es-ES"/>
              </w:rPr>
              <w:t>(</w:t>
            </w:r>
            <w:r>
              <w:rPr>
                <w:color w:val="000000"/>
                <w:szCs w:val="21"/>
                <w:lang w:val="es-ES"/>
              </w:rPr>
              <w:t xml:space="preserve">5) </w:t>
            </w:r>
            <w:r>
              <w:rPr>
                <w:rFonts w:hint="eastAsia"/>
                <w:color w:val="000000"/>
                <w:szCs w:val="21"/>
                <w:lang w:val="es-ES"/>
              </w:rPr>
              <w:t>S</w:t>
            </w:r>
            <w:r>
              <w:rPr>
                <w:color w:val="000000"/>
                <w:szCs w:val="21"/>
                <w:lang w:val="es-ES"/>
              </w:rPr>
              <w:t xml:space="preserve">istema de estandarización de electrodomésticos en China: introducir el trabajo de estandarización de electrodomésticos en China, y la importancia de estandarización para la </w:t>
            </w:r>
            <w:r>
              <w:rPr>
                <w:color w:val="000000"/>
                <w:szCs w:val="21"/>
                <w:lang w:val="es-ES"/>
              </w:rPr>
              <w:lastRenderedPageBreak/>
              <w:t>calidad y seguridad de los equipos electrodomésticos;</w:t>
            </w:r>
            <w:r>
              <w:rPr>
                <w:bCs/>
                <w:color w:val="000000"/>
                <w:szCs w:val="21"/>
                <w:lang w:val="es-ES"/>
              </w:rPr>
              <w:t xml:space="preserve"> </w:t>
            </w:r>
          </w:p>
          <w:p w:rsidR="00D3718C" w:rsidRDefault="00A62F58">
            <w:pPr>
              <w:pStyle w:val="Textocomentario"/>
              <w:jc w:val="both"/>
              <w:rPr>
                <w:bCs/>
                <w:szCs w:val="21"/>
                <w:lang w:val="es-ES"/>
              </w:rPr>
            </w:pPr>
            <w:r>
              <w:rPr>
                <w:rFonts w:hint="eastAsia"/>
                <w:bCs/>
                <w:szCs w:val="21"/>
                <w:lang w:val="es-ES"/>
              </w:rPr>
              <w:t>(</w:t>
            </w:r>
            <w:r>
              <w:rPr>
                <w:bCs/>
                <w:szCs w:val="21"/>
                <w:lang w:val="es-ES"/>
              </w:rPr>
              <w:t xml:space="preserve">6) </w:t>
            </w:r>
            <w:r>
              <w:rPr>
                <w:rFonts w:hint="eastAsia"/>
                <w:bCs/>
                <w:szCs w:val="21"/>
                <w:lang w:val="es-ES"/>
              </w:rPr>
              <w:t>E</w:t>
            </w:r>
            <w:r>
              <w:rPr>
                <w:bCs/>
                <w:szCs w:val="21"/>
                <w:lang w:val="es-ES"/>
              </w:rPr>
              <w:t>standarización de robots en China: introducir el trabajo de estandarización de robots en China, y los logros en la construcción de la estandarización de robots en China.</w:t>
            </w:r>
          </w:p>
          <w:p w:rsidR="00D3718C" w:rsidRDefault="00A62F58">
            <w:pPr>
              <w:rPr>
                <w:b/>
                <w:color w:val="000000"/>
                <w:szCs w:val="21"/>
                <w:lang w:val="es-ES"/>
              </w:rPr>
            </w:pPr>
            <w:r>
              <w:rPr>
                <w:b/>
                <w:color w:val="000000"/>
                <w:szCs w:val="21"/>
                <w:lang w:val="es-ES"/>
              </w:rPr>
              <w:t>2.</w:t>
            </w:r>
            <w:r>
              <w:rPr>
                <w:rFonts w:hint="eastAsia"/>
                <w:b/>
                <w:color w:val="000000"/>
                <w:szCs w:val="21"/>
                <w:lang w:val="es-ES"/>
              </w:rPr>
              <w:t xml:space="preserve"> </w:t>
            </w:r>
            <w:r>
              <w:rPr>
                <w:b/>
                <w:color w:val="000000"/>
                <w:szCs w:val="21"/>
                <w:lang w:val="es-ES"/>
              </w:rPr>
              <w:t>Breve introducción a los presentadores</w:t>
            </w:r>
          </w:p>
          <w:p w:rsidR="00D3718C" w:rsidRDefault="00A62F58">
            <w:pPr>
              <w:rPr>
                <w:bCs/>
                <w:color w:val="000000"/>
                <w:szCs w:val="21"/>
                <w:lang w:val="es-ES"/>
              </w:rPr>
            </w:pPr>
            <w:r>
              <w:rPr>
                <w:rFonts w:hint="eastAsia"/>
                <w:bCs/>
                <w:color w:val="000000"/>
                <w:szCs w:val="21"/>
                <w:lang w:val="es-ES"/>
              </w:rPr>
              <w:t>(</w:t>
            </w:r>
            <w:r>
              <w:rPr>
                <w:bCs/>
                <w:color w:val="000000"/>
                <w:szCs w:val="21"/>
                <w:lang w:val="es-ES"/>
              </w:rPr>
              <w:t>1) Shen Yilin: Director de la Oficina de Relaciones Internacionales del Gobierno Popular Municipal de Changzhou, dicta situación nacional de China.</w:t>
            </w:r>
          </w:p>
          <w:p w:rsidR="00D3718C" w:rsidRDefault="00A62F58">
            <w:pPr>
              <w:rPr>
                <w:bCs/>
                <w:szCs w:val="21"/>
                <w:lang w:val="es-ES"/>
              </w:rPr>
            </w:pPr>
            <w:r>
              <w:rPr>
                <w:rFonts w:hint="eastAsia"/>
                <w:bCs/>
                <w:color w:val="000000"/>
                <w:szCs w:val="21"/>
                <w:lang w:val="es-ES"/>
              </w:rPr>
              <w:t>(</w:t>
            </w:r>
            <w:r>
              <w:rPr>
                <w:bCs/>
                <w:color w:val="000000"/>
                <w:szCs w:val="21"/>
                <w:lang w:val="es-ES"/>
              </w:rPr>
              <w:t>2) Cui Gang: Director del Departamento de Innovación de Estandarización de la Administración Estatal de Regulación del Mercado, especialista de la estandarización</w:t>
            </w:r>
            <w:r>
              <w:rPr>
                <w:rFonts w:hint="eastAsia"/>
                <w:bCs/>
                <w:szCs w:val="21"/>
                <w:lang w:val="es-ES"/>
              </w:rPr>
              <w:t>.</w:t>
            </w:r>
          </w:p>
          <w:p w:rsidR="00D3718C" w:rsidRDefault="00A62F58">
            <w:pPr>
              <w:rPr>
                <w:bCs/>
                <w:color w:val="000000"/>
                <w:szCs w:val="21"/>
                <w:lang w:val="es-ES"/>
              </w:rPr>
            </w:pPr>
            <w:r>
              <w:rPr>
                <w:rFonts w:hint="eastAsia"/>
                <w:szCs w:val="21"/>
                <w:shd w:val="clear" w:color="auto" w:fill="FFFFFF"/>
                <w:lang w:val="es-ES"/>
              </w:rPr>
              <w:t>(</w:t>
            </w:r>
            <w:r>
              <w:rPr>
                <w:szCs w:val="21"/>
                <w:shd w:val="clear" w:color="auto" w:fill="FFFFFF"/>
                <w:lang w:val="es-ES"/>
              </w:rPr>
              <w:t xml:space="preserve">3) Qiu Wenyi: Aduana de Changzhou, </w:t>
            </w:r>
            <w:r>
              <w:rPr>
                <w:rFonts w:hint="eastAsia"/>
                <w:szCs w:val="21"/>
                <w:shd w:val="clear" w:color="auto" w:fill="FFFFFF"/>
                <w:lang w:val="es-ES"/>
              </w:rPr>
              <w:t>director-adjunto</w:t>
            </w:r>
            <w:r>
              <w:rPr>
                <w:szCs w:val="21"/>
                <w:shd w:val="clear" w:color="auto" w:fill="FFFFFF"/>
                <w:lang w:val="es-419"/>
              </w:rPr>
              <w:t xml:space="preserve"> médico</w:t>
            </w:r>
            <w:r>
              <w:rPr>
                <w:rFonts w:hint="eastAsia"/>
                <w:szCs w:val="21"/>
                <w:shd w:val="clear" w:color="auto" w:fill="FFFFFF"/>
                <w:lang w:val="es-ES"/>
              </w:rPr>
              <w:t>.</w:t>
            </w:r>
          </w:p>
          <w:p w:rsidR="00D3718C" w:rsidRDefault="00A62F58">
            <w:pPr>
              <w:rPr>
                <w:bCs/>
                <w:color w:val="000000"/>
                <w:szCs w:val="21"/>
                <w:lang w:val="es-ES"/>
              </w:rPr>
            </w:pPr>
            <w:r>
              <w:rPr>
                <w:bCs/>
                <w:color w:val="000000"/>
                <w:szCs w:val="21"/>
                <w:lang w:val="es-ES"/>
              </w:rPr>
              <w:t>(4) Cao Lili:</w:t>
            </w:r>
            <w:r>
              <w:rPr>
                <w:rFonts w:hint="eastAsia"/>
                <w:bCs/>
                <w:color w:val="000000"/>
                <w:szCs w:val="21"/>
                <w:lang w:val="es-ES"/>
              </w:rPr>
              <w:t xml:space="preserve"> </w:t>
            </w:r>
            <w:r>
              <w:rPr>
                <w:bCs/>
                <w:color w:val="000000"/>
                <w:szCs w:val="21"/>
                <w:lang w:val="es-ES"/>
              </w:rPr>
              <w:t>Vice directora del Instituto de Estandarización de Servicios de la Academia de Estudios de Estandarización, investigadora.</w:t>
            </w:r>
          </w:p>
          <w:p w:rsidR="00D3718C" w:rsidRDefault="00A62F58">
            <w:pPr>
              <w:rPr>
                <w:bCs/>
                <w:color w:val="000000"/>
                <w:szCs w:val="21"/>
                <w:lang w:val="es-ES"/>
              </w:rPr>
            </w:pPr>
            <w:r>
              <w:rPr>
                <w:rFonts w:hint="eastAsia"/>
                <w:bCs/>
                <w:color w:val="000000"/>
                <w:szCs w:val="21"/>
                <w:lang w:val="es-ES"/>
              </w:rPr>
              <w:t>(</w:t>
            </w:r>
            <w:r>
              <w:rPr>
                <w:bCs/>
                <w:color w:val="000000"/>
                <w:szCs w:val="21"/>
                <w:lang w:val="es-ES"/>
              </w:rPr>
              <w:t xml:space="preserve">5) Zheng Qin: </w:t>
            </w:r>
            <w:r>
              <w:rPr>
                <w:rFonts w:hint="eastAsia"/>
                <w:bCs/>
                <w:color w:val="000000"/>
                <w:szCs w:val="21"/>
                <w:lang w:val="es-ES"/>
              </w:rPr>
              <w:t>vice</w:t>
            </w:r>
            <w:r>
              <w:rPr>
                <w:bCs/>
                <w:color w:val="000000"/>
                <w:szCs w:val="21"/>
                <w:lang w:val="es-419"/>
              </w:rPr>
              <w:t xml:space="preserve"> investigador de la Administración de Supervisión del Mercado de la Provincia Zhejiang</w:t>
            </w:r>
            <w:r>
              <w:rPr>
                <w:rFonts w:hint="eastAsia"/>
                <w:bCs/>
                <w:color w:val="000000"/>
                <w:szCs w:val="21"/>
                <w:lang w:val="es-ES"/>
              </w:rPr>
              <w:t>.</w:t>
            </w:r>
          </w:p>
          <w:p w:rsidR="00D3718C" w:rsidRDefault="00A62F58">
            <w:pPr>
              <w:rPr>
                <w:bCs/>
                <w:color w:val="000000"/>
                <w:szCs w:val="21"/>
                <w:lang w:val="es-ES"/>
              </w:rPr>
            </w:pPr>
            <w:r>
              <w:rPr>
                <w:rFonts w:hint="eastAsia"/>
                <w:bCs/>
                <w:color w:val="000000"/>
                <w:szCs w:val="21"/>
                <w:lang w:val="es-ES"/>
              </w:rPr>
              <w:t>(</w:t>
            </w:r>
            <w:r>
              <w:rPr>
                <w:bCs/>
                <w:color w:val="000000"/>
                <w:szCs w:val="21"/>
                <w:lang w:val="es-ES"/>
              </w:rPr>
              <w:t>6) Ma Dejun: Decano del Instituto de Electrodomésticos de China, investigador superior.</w:t>
            </w:r>
          </w:p>
          <w:p w:rsidR="00D3718C" w:rsidRDefault="00A62F58">
            <w:pPr>
              <w:rPr>
                <w:bCs/>
                <w:color w:val="000000"/>
                <w:szCs w:val="21"/>
                <w:lang w:val="es-ES"/>
              </w:rPr>
            </w:pPr>
            <w:r>
              <w:rPr>
                <w:rFonts w:hint="eastAsia"/>
                <w:bCs/>
                <w:color w:val="000000"/>
                <w:szCs w:val="21"/>
                <w:lang w:val="es-ES"/>
              </w:rPr>
              <w:t>(</w:t>
            </w:r>
            <w:r>
              <w:rPr>
                <w:bCs/>
                <w:color w:val="000000"/>
                <w:szCs w:val="21"/>
                <w:lang w:val="es-ES"/>
              </w:rPr>
              <w:t>7) Xu Fang: Haier Co.,Ltd., Ingeniera superior de gestión técnica.</w:t>
            </w:r>
          </w:p>
          <w:p w:rsidR="00D3718C" w:rsidRDefault="00A62F58">
            <w:pPr>
              <w:rPr>
                <w:bCs/>
                <w:szCs w:val="21"/>
                <w:lang w:val="es-ES"/>
              </w:rPr>
            </w:pPr>
            <w:r>
              <w:rPr>
                <w:rFonts w:hint="eastAsia"/>
                <w:bCs/>
                <w:szCs w:val="21"/>
                <w:lang w:val="es-ES"/>
              </w:rPr>
              <w:t>(</w:t>
            </w:r>
            <w:r>
              <w:rPr>
                <w:bCs/>
                <w:szCs w:val="21"/>
                <w:lang w:val="es-ES"/>
              </w:rPr>
              <w:t>8) Zhang Ping: Centro Productivo para Maquinaria en China, investigador</w:t>
            </w:r>
            <w:r>
              <w:rPr>
                <w:rFonts w:hint="eastAsia"/>
                <w:bCs/>
                <w:szCs w:val="21"/>
                <w:lang w:val="es-ES"/>
              </w:rPr>
              <w:t>a</w:t>
            </w:r>
            <w:r>
              <w:rPr>
                <w:bCs/>
                <w:szCs w:val="21"/>
                <w:lang w:val="es-ES"/>
              </w:rPr>
              <w:t>.</w:t>
            </w:r>
          </w:p>
          <w:p w:rsidR="00D3718C" w:rsidRDefault="00A62F58">
            <w:pPr>
              <w:pStyle w:val="Textocomentario"/>
              <w:jc w:val="both"/>
              <w:rPr>
                <w:b/>
                <w:color w:val="000000"/>
                <w:kern w:val="0"/>
                <w:szCs w:val="21"/>
                <w:lang w:val="es-ES"/>
              </w:rPr>
            </w:pPr>
            <w:r>
              <w:rPr>
                <w:b/>
                <w:color w:val="000000"/>
                <w:szCs w:val="21"/>
                <w:lang w:val="es-ES"/>
              </w:rPr>
              <w:t>3. Materiales de preparación de los participantes</w:t>
            </w:r>
          </w:p>
          <w:p w:rsidR="00D3718C" w:rsidRDefault="00A62F58">
            <w:pPr>
              <w:pStyle w:val="Textocomentario"/>
              <w:jc w:val="both"/>
              <w:rPr>
                <w:kern w:val="0"/>
                <w:szCs w:val="21"/>
                <w:lang w:val="es-ES"/>
              </w:rPr>
            </w:pPr>
            <w:r>
              <w:rPr>
                <w:kern w:val="0"/>
                <w:szCs w:val="21"/>
                <w:lang w:val="es-ES"/>
              </w:rPr>
              <w:t>Favor de preparar los materiales relacionados del tema de este proyecto de su país p</w:t>
            </w:r>
            <w:r>
              <w:rPr>
                <w:kern w:val="0"/>
                <w:szCs w:val="21"/>
                <w:lang w:val="es-419"/>
              </w:rPr>
              <w:t>ara facilitar la comunicación con los especialistas chinos:</w:t>
            </w:r>
          </w:p>
          <w:p w:rsidR="00D3718C" w:rsidRDefault="00A62F58">
            <w:pPr>
              <w:pStyle w:val="Textocomentario"/>
              <w:jc w:val="both"/>
              <w:rPr>
                <w:kern w:val="0"/>
                <w:szCs w:val="21"/>
                <w:lang w:val="es-ES"/>
              </w:rPr>
            </w:pPr>
            <w:r>
              <w:rPr>
                <w:kern w:val="0"/>
                <w:szCs w:val="21"/>
                <w:lang w:val="es-419"/>
              </w:rPr>
              <w:t>(1) Charla y discusión con especialistas de Haier Co.,Ltd. sobre los trabajos de estandarización electrodoméstica;</w:t>
            </w:r>
          </w:p>
          <w:p w:rsidR="00D3718C" w:rsidRDefault="00A62F58">
            <w:pPr>
              <w:pStyle w:val="Textocomentario"/>
              <w:jc w:val="both"/>
              <w:rPr>
                <w:bCs/>
                <w:kern w:val="0"/>
                <w:szCs w:val="21"/>
                <w:lang w:val="es-ES"/>
              </w:rPr>
            </w:pPr>
            <w:r>
              <w:rPr>
                <w:bCs/>
                <w:kern w:val="0"/>
                <w:szCs w:val="21"/>
                <w:lang w:val="es-ES"/>
              </w:rPr>
              <w:t xml:space="preserve">(2) Sobre los trabajos de estandarización de servicio turístico en China: presentar el desarrollo y la situación actual de turismo nacional e internacional en China, los logros y situación actual de la estandarización de servicio turístico en China; </w:t>
            </w:r>
          </w:p>
          <w:p w:rsidR="00D3718C" w:rsidRDefault="00A62F58">
            <w:pPr>
              <w:pStyle w:val="Textocomentario"/>
              <w:jc w:val="both"/>
              <w:rPr>
                <w:kern w:val="0"/>
                <w:szCs w:val="21"/>
                <w:lang w:val="es-ES"/>
              </w:rPr>
            </w:pPr>
            <w:r>
              <w:rPr>
                <w:rFonts w:hint="eastAsia"/>
                <w:kern w:val="0"/>
                <w:szCs w:val="21"/>
                <w:lang w:val="es-ES"/>
              </w:rPr>
              <w:t>(</w:t>
            </w:r>
            <w:r>
              <w:rPr>
                <w:kern w:val="0"/>
                <w:szCs w:val="21"/>
                <w:lang w:val="es-ES"/>
              </w:rPr>
              <w:t>3) Intercambio de ideas y resúmenes del proyecto, incluido la base de la cooperación con China en materia de estandarización y la visión futura, y recomendaciones para el seminario, etc.</w:t>
            </w:r>
          </w:p>
          <w:p w:rsidR="00D3718C" w:rsidRDefault="00A62F58">
            <w:pPr>
              <w:pStyle w:val="Textocomentario"/>
              <w:jc w:val="both"/>
              <w:rPr>
                <w:b/>
                <w:bCs/>
                <w:kern w:val="0"/>
                <w:szCs w:val="21"/>
                <w:lang w:val="es-ES"/>
              </w:rPr>
            </w:pPr>
            <w:r>
              <w:rPr>
                <w:b/>
                <w:bCs/>
                <w:kern w:val="0"/>
                <w:szCs w:val="21"/>
                <w:lang w:val="es-ES"/>
              </w:rPr>
              <w:t>4.</w:t>
            </w:r>
            <w:r>
              <w:rPr>
                <w:rFonts w:hint="eastAsia"/>
                <w:b/>
                <w:bCs/>
                <w:kern w:val="0"/>
                <w:szCs w:val="21"/>
                <w:lang w:val="es-ES"/>
              </w:rPr>
              <w:t xml:space="preserve"> </w:t>
            </w:r>
            <w:r>
              <w:rPr>
                <w:b/>
                <w:bCs/>
                <w:kern w:val="0"/>
                <w:szCs w:val="21"/>
                <w:lang w:val="es-ES"/>
              </w:rPr>
              <w:t>Visita On-line</w:t>
            </w:r>
          </w:p>
          <w:p w:rsidR="00D3718C" w:rsidRDefault="00A62F58">
            <w:pPr>
              <w:pStyle w:val="Textocomentario"/>
              <w:jc w:val="both"/>
              <w:rPr>
                <w:kern w:val="0"/>
                <w:szCs w:val="21"/>
                <w:lang w:val="es-ES"/>
              </w:rPr>
            </w:pPr>
            <w:r>
              <w:rPr>
                <w:rFonts w:hint="eastAsia"/>
                <w:kern w:val="0"/>
                <w:szCs w:val="21"/>
                <w:lang w:val="es-ES"/>
              </w:rPr>
              <w:t>(</w:t>
            </w:r>
            <w:r>
              <w:rPr>
                <w:kern w:val="0"/>
                <w:szCs w:val="21"/>
                <w:lang w:val="es-ES"/>
              </w:rPr>
              <w:t xml:space="preserve">1) </w:t>
            </w:r>
            <w:r>
              <w:rPr>
                <w:rFonts w:hint="eastAsia"/>
                <w:kern w:val="0"/>
                <w:szCs w:val="21"/>
                <w:lang w:val="es-ES"/>
              </w:rPr>
              <w:t>V</w:t>
            </w:r>
            <w:r>
              <w:rPr>
                <w:kern w:val="0"/>
                <w:szCs w:val="21"/>
                <w:lang w:val="es-ES"/>
              </w:rPr>
              <w:t>isita al Centro de Inspección de Mercancías Peligrosas y Embalaje de la Aduana de Changzhou sobre la inspección y tratamiento de materiales de embalaje de mercancías peligrosas</w:t>
            </w:r>
            <w:r>
              <w:rPr>
                <w:rFonts w:hint="eastAsia"/>
                <w:kern w:val="0"/>
                <w:szCs w:val="21"/>
                <w:lang w:val="es-ES"/>
              </w:rPr>
              <w:t>;</w:t>
            </w:r>
          </w:p>
          <w:p w:rsidR="00D3718C" w:rsidRDefault="00A62F58">
            <w:pPr>
              <w:pStyle w:val="Textocomentario"/>
              <w:jc w:val="both"/>
              <w:rPr>
                <w:b/>
                <w:color w:val="000000"/>
                <w:kern w:val="0"/>
                <w:szCs w:val="21"/>
                <w:lang w:val="es-ES"/>
              </w:rPr>
            </w:pPr>
            <w:r>
              <w:rPr>
                <w:b/>
                <w:color w:val="000000"/>
                <w:szCs w:val="21"/>
                <w:lang w:val="es-ES"/>
              </w:rPr>
              <w:t>5.</w:t>
            </w:r>
            <w:r>
              <w:rPr>
                <w:rFonts w:hint="eastAsia"/>
                <w:b/>
                <w:color w:val="000000"/>
                <w:szCs w:val="21"/>
                <w:lang w:val="es-ES"/>
              </w:rPr>
              <w:t xml:space="preserve"> </w:t>
            </w:r>
            <w:r>
              <w:rPr>
                <w:b/>
                <w:color w:val="000000"/>
                <w:szCs w:val="21"/>
                <w:lang w:val="es-ES"/>
              </w:rPr>
              <w:t>Examen/ evaluación de la graduación</w:t>
            </w:r>
          </w:p>
          <w:p w:rsidR="00D3718C" w:rsidRDefault="00A62F58">
            <w:pPr>
              <w:pStyle w:val="Textocomentario"/>
              <w:jc w:val="both"/>
              <w:rPr>
                <w:rFonts w:ascii="SimSun" w:hAnsi="SimSun" w:cs="NSimSun"/>
                <w:color w:val="000000"/>
                <w:kern w:val="0"/>
                <w:szCs w:val="21"/>
                <w:lang w:val="es-ES"/>
              </w:rPr>
            </w:pPr>
            <w:r>
              <w:rPr>
                <w:color w:val="000000"/>
                <w:kern w:val="0"/>
                <w:szCs w:val="21"/>
                <w:lang w:val="es-ES"/>
              </w:rPr>
              <w:t>La evaluación se basará en el grado de finalización del curso.</w:t>
            </w:r>
          </w:p>
        </w:tc>
      </w:tr>
      <w:tr w:rsidR="00D3718C">
        <w:trPr>
          <w:trHeight w:val="554"/>
          <w:jc w:val="center"/>
        </w:trPr>
        <w:tc>
          <w:tcPr>
            <w:tcW w:w="1535" w:type="dxa"/>
            <w:vAlign w:val="center"/>
          </w:tcPr>
          <w:p w:rsidR="00D3718C" w:rsidRDefault="00A62F58">
            <w:pPr>
              <w:jc w:val="center"/>
              <w:rPr>
                <w:rFonts w:cs="SimSun"/>
                <w:bCs/>
                <w:color w:val="000000"/>
                <w:szCs w:val="21"/>
                <w:lang w:val="es-ES"/>
              </w:rPr>
            </w:pPr>
            <w:r>
              <w:rPr>
                <w:rFonts w:cs="SimSun" w:hint="eastAsia"/>
                <w:bCs/>
                <w:color w:val="000000"/>
                <w:szCs w:val="21"/>
                <w:lang w:val="es-ES"/>
              </w:rPr>
              <w:lastRenderedPageBreak/>
              <w:t>N</w:t>
            </w:r>
            <w:r>
              <w:rPr>
                <w:rFonts w:cs="SimSun"/>
                <w:bCs/>
                <w:color w:val="000000"/>
                <w:szCs w:val="21"/>
                <w:lang w:val="es-ES"/>
              </w:rPr>
              <w:t>otas</w:t>
            </w:r>
          </w:p>
        </w:tc>
        <w:tc>
          <w:tcPr>
            <w:tcW w:w="8221" w:type="dxa"/>
            <w:gridSpan w:val="4"/>
            <w:vAlign w:val="center"/>
          </w:tcPr>
          <w:p w:rsidR="00D3718C" w:rsidRDefault="00A62F58">
            <w:pPr>
              <w:rPr>
                <w:rFonts w:cs="SimSun"/>
                <w:bCs/>
                <w:color w:val="000000"/>
                <w:szCs w:val="21"/>
                <w:lang w:val="es-ES"/>
              </w:rPr>
            </w:pPr>
            <w:r>
              <w:rPr>
                <w:rFonts w:cs="SimSun"/>
                <w:bCs/>
                <w:color w:val="000000"/>
                <w:szCs w:val="21"/>
                <w:lang w:val="es-ES"/>
              </w:rPr>
              <w:t>1. Este seminario se realiza por internet con la plataforma ZOOM.</w:t>
            </w:r>
          </w:p>
          <w:p w:rsidR="00D3718C" w:rsidRDefault="00A62F58">
            <w:pPr>
              <w:rPr>
                <w:rFonts w:cs="SimSun"/>
                <w:bCs/>
                <w:color w:val="000000"/>
                <w:szCs w:val="21"/>
                <w:lang w:val="es-ES"/>
              </w:rPr>
            </w:pPr>
            <w:r>
              <w:rPr>
                <w:rFonts w:cs="SimSun"/>
                <w:bCs/>
                <w:color w:val="000000"/>
                <w:szCs w:val="21"/>
                <w:lang w:val="es-ES"/>
              </w:rPr>
              <w:t xml:space="preserve">2. Todos los participantes deben </w:t>
            </w:r>
            <w:r>
              <w:rPr>
                <w:rFonts w:cs="SimSun" w:hint="eastAsia"/>
                <w:bCs/>
                <w:color w:val="000000"/>
                <w:szCs w:val="21"/>
                <w:lang w:val="es-ES"/>
              </w:rPr>
              <w:t>o</w:t>
            </w:r>
            <w:r>
              <w:rPr>
                <w:rFonts w:cs="SimSun"/>
                <w:bCs/>
                <w:color w:val="000000"/>
                <w:szCs w:val="21"/>
                <w:lang w:val="es-ES"/>
              </w:rPr>
              <w:t>bedecer las leyes chinas, las normas pertinentes y la disciplina docente de este seminario. Los registros de asistencia servirán de base para la expedición de certificados del seminario.</w:t>
            </w:r>
          </w:p>
          <w:p w:rsidR="00D3718C" w:rsidRDefault="00A62F58">
            <w:pPr>
              <w:rPr>
                <w:rFonts w:cs="SimSun"/>
                <w:bCs/>
                <w:color w:val="000000"/>
                <w:szCs w:val="21"/>
                <w:lang w:val="es-ES"/>
              </w:rPr>
            </w:pPr>
            <w:r>
              <w:rPr>
                <w:rFonts w:cs="SimSun"/>
                <w:bCs/>
                <w:color w:val="000000"/>
                <w:szCs w:val="21"/>
                <w:lang w:val="es-ES"/>
              </w:rPr>
              <w:t xml:space="preserve">3. Preparación de clase: se tiene que entrar en la plataforma ZOOM con 15 minutos de antelación, usando el ID con el nombre del país </w:t>
            </w:r>
            <w:r>
              <w:rPr>
                <w:rFonts w:cs="SimSun" w:hint="eastAsia"/>
                <w:bCs/>
                <w:color w:val="000000"/>
                <w:szCs w:val="21"/>
                <w:lang w:val="es-ES"/>
              </w:rPr>
              <w:t>+</w:t>
            </w:r>
            <w:r>
              <w:rPr>
                <w:rFonts w:cs="SimSun"/>
                <w:bCs/>
                <w:color w:val="000000"/>
                <w:szCs w:val="21"/>
                <w:lang w:val="es-ES"/>
              </w:rPr>
              <w:t xml:space="preserve"> </w:t>
            </w:r>
            <w:r>
              <w:rPr>
                <w:rFonts w:cs="SimSun"/>
                <w:bCs/>
                <w:color w:val="000000"/>
                <w:szCs w:val="21"/>
                <w:lang w:val="es-419"/>
              </w:rPr>
              <w:t>nombre completo en</w:t>
            </w:r>
            <w:r>
              <w:rPr>
                <w:rFonts w:cs="SimSun"/>
                <w:bCs/>
                <w:color w:val="FF0000"/>
                <w:szCs w:val="21"/>
                <w:lang w:val="es-419"/>
              </w:rPr>
              <w:t xml:space="preserve"> </w:t>
            </w:r>
            <w:r>
              <w:rPr>
                <w:rFonts w:cs="SimSun"/>
                <w:bCs/>
                <w:szCs w:val="21"/>
                <w:lang w:val="es-419"/>
              </w:rPr>
              <w:t>inglés.</w:t>
            </w:r>
          </w:p>
          <w:p w:rsidR="00D3718C" w:rsidRDefault="00A62F58">
            <w:pPr>
              <w:rPr>
                <w:rFonts w:cs="SimSun"/>
                <w:bCs/>
                <w:color w:val="000000"/>
                <w:szCs w:val="21"/>
                <w:lang w:val="es-ES"/>
              </w:rPr>
            </w:pPr>
            <w:r>
              <w:rPr>
                <w:rFonts w:cs="SimSun"/>
                <w:bCs/>
                <w:color w:val="000000"/>
                <w:szCs w:val="21"/>
                <w:lang w:val="es-ES"/>
              </w:rPr>
              <w:t>4. Requisitos disciplinarios: por favor, durante el proceso de ejecución del proyecto, sigan estrictamente el calendario del proyecto, no organicen actividades no relacionadas con el seminario sin la autorización, no abandonen el seminario sin ninguna razón.</w:t>
            </w:r>
          </w:p>
          <w:p w:rsidR="00D3718C" w:rsidRDefault="00A62F58">
            <w:pPr>
              <w:rPr>
                <w:rFonts w:cs="SimSun"/>
                <w:bCs/>
                <w:color w:val="000000"/>
                <w:szCs w:val="21"/>
                <w:lang w:val="es-ES"/>
              </w:rPr>
            </w:pPr>
            <w:r>
              <w:rPr>
                <w:rFonts w:cs="SimSun"/>
                <w:bCs/>
                <w:color w:val="000000"/>
                <w:szCs w:val="21"/>
                <w:lang w:val="es-ES"/>
              </w:rPr>
              <w:t>5. Los participantes tienen que preparar el material pertinente del taller de acuerdo con el calendario y proporcionar el material electrónico pertinente según sea necesario.</w:t>
            </w:r>
          </w:p>
        </w:tc>
      </w:tr>
      <w:tr w:rsidR="00D3718C">
        <w:trPr>
          <w:trHeight w:val="1457"/>
          <w:jc w:val="center"/>
        </w:trPr>
        <w:tc>
          <w:tcPr>
            <w:tcW w:w="1535" w:type="dxa"/>
            <w:vAlign w:val="center"/>
          </w:tcPr>
          <w:p w:rsidR="00D3718C" w:rsidRDefault="00A62F58">
            <w:pPr>
              <w:jc w:val="center"/>
              <w:rPr>
                <w:rFonts w:cs="SimSun"/>
                <w:bCs/>
                <w:color w:val="000000"/>
                <w:szCs w:val="21"/>
                <w:lang w:val="es-ES"/>
              </w:rPr>
            </w:pPr>
            <w:r>
              <w:rPr>
                <w:rFonts w:cs="SimSun"/>
                <w:bCs/>
                <w:color w:val="000000"/>
                <w:szCs w:val="21"/>
                <w:lang w:val="es-ES"/>
              </w:rPr>
              <w:lastRenderedPageBreak/>
              <w:t>Breve presentación del organizador</w:t>
            </w:r>
          </w:p>
        </w:tc>
        <w:tc>
          <w:tcPr>
            <w:tcW w:w="8221" w:type="dxa"/>
            <w:gridSpan w:val="4"/>
          </w:tcPr>
          <w:p w:rsidR="00D3718C" w:rsidRDefault="00A62F58">
            <w:pPr>
              <w:spacing w:line="360" w:lineRule="exact"/>
              <w:ind w:firstLineChars="200" w:firstLine="420"/>
              <w:rPr>
                <w:szCs w:val="21"/>
                <w:lang w:val="es-ES"/>
              </w:rPr>
            </w:pPr>
            <w:r>
              <w:rPr>
                <w:szCs w:val="21"/>
                <w:lang w:val="es-ES"/>
              </w:rPr>
              <w:t>El Instituto de Inspección y Cuarentena de Calidad de Jiangsu (JSIQ) se estableció en 2005, y es una entidad jurídica independiente afiliada a la Aduana de Nanjing.</w:t>
            </w:r>
          </w:p>
          <w:p w:rsidR="00D3718C" w:rsidRDefault="00A62F58">
            <w:pPr>
              <w:spacing w:line="360" w:lineRule="exact"/>
              <w:ind w:firstLineChars="200" w:firstLine="420"/>
              <w:rPr>
                <w:szCs w:val="21"/>
                <w:lang w:val="es-419"/>
              </w:rPr>
            </w:pPr>
            <w:r>
              <w:rPr>
                <w:szCs w:val="21"/>
                <w:lang w:val="es-ES"/>
              </w:rPr>
              <w:t>El JSIQ es un instituto integrado de investigación científica de calidad que ofrece análisis de calidad, comunicación internacional, formación general, y consultoría de gestión; es “Base de Comunicación y Cooperación internacional”, “Base de Investigación y Formación de Técnicas y Reglamentos de África”, “Base de innovación de Legalización y Reconocimiento” y “Punto de Control Primario de la Calidad y Seguridad de las Mercancías de Importación y Exportación” de la Administración General de Aduanas.</w:t>
            </w:r>
            <w:r>
              <w:rPr>
                <w:rFonts w:hint="eastAsia"/>
                <w:szCs w:val="21"/>
                <w:lang w:val="es-ES"/>
              </w:rPr>
              <w:t xml:space="preserve"> </w:t>
            </w:r>
            <w:r>
              <w:rPr>
                <w:szCs w:val="21"/>
                <w:lang w:val="es-ES"/>
              </w:rPr>
              <w:t>Actualmente tenemos siete departamentos, los cuales son: departamento de planificación y desarrollo, de consultoría de investigación de calidad, de comunicación internacional, de formación nacional, de gestión de la macro calidad, de tecnología y medios comerciales y de gestión integrada</w:t>
            </w:r>
            <w:r>
              <w:rPr>
                <w:szCs w:val="21"/>
                <w:lang w:val="es-419"/>
              </w:rPr>
              <w:t>; administra el Centro de Consultoría de Certificación (CQC) y la Sucursal de la Asociación de Inspección y Cuarentena de Entrada y Salida de China en Changzhou, actualmente tenemos en total más de 40 trabajadores.</w:t>
            </w:r>
          </w:p>
          <w:p w:rsidR="00D3718C" w:rsidRDefault="00A62F58">
            <w:pPr>
              <w:spacing w:line="360" w:lineRule="exact"/>
              <w:ind w:firstLineChars="200" w:firstLine="420"/>
              <w:rPr>
                <w:color w:val="000000"/>
                <w:szCs w:val="21"/>
                <w:lang w:val="es-ES"/>
              </w:rPr>
            </w:pPr>
            <w:r>
              <w:rPr>
                <w:bCs/>
                <w:szCs w:val="21"/>
                <w:lang w:val="es-ES_tradnl"/>
              </w:rPr>
              <w:t>A partir de septiembre del año 2006 nuestro instituto empieza a encargarse de los seminarios de capacitación de Recursos Humanos del Ministerio de Comercio. Hasta el final del año 2020 ya ha hecho 190 seminarios, usando 9 idiomas como inglés, francés, ruso, árabe, español, portugués, camboyano, mongol y laosiano, y participaron más de 5102 funcionarios y técnicos de 141 países y organizaciones internacionales de los cinco continentes, abarcando a todos los países a lo largo de “la Franja y la Ruta” y a todos los países en vía de desarrollo de África, Europa Central y Oriental, América Latina y Asia; el contenido de los seminarios incluye varias áreas como inspección de los productos básicos, inspección y cuarentena de animales y plantas, cuarentena sanitaria, seguridad alimentaria, certificación y reconocimiento, estandarización, metrología,</w:t>
            </w:r>
            <w:r>
              <w:rPr>
                <w:bCs/>
                <w:color w:val="FF0000"/>
                <w:szCs w:val="21"/>
                <w:lang w:val="es-ES_tradnl"/>
              </w:rPr>
              <w:t xml:space="preserve"> </w:t>
            </w:r>
            <w:r>
              <w:rPr>
                <w:bCs/>
                <w:szCs w:val="21"/>
                <w:lang w:val="es-ES_tradnl"/>
              </w:rPr>
              <w:t xml:space="preserve">lugar de </w:t>
            </w:r>
            <w:r>
              <w:rPr>
                <w:rFonts w:hint="eastAsia"/>
                <w:bCs/>
                <w:szCs w:val="21"/>
                <w:lang w:val="es-ES_tradnl"/>
              </w:rPr>
              <w:t>o</w:t>
            </w:r>
            <w:r>
              <w:rPr>
                <w:bCs/>
                <w:szCs w:val="21"/>
                <w:lang w:val="es-ES_tradnl"/>
              </w:rPr>
              <w:t>rigen, facilitación</w:t>
            </w:r>
            <w:r>
              <w:rPr>
                <w:bCs/>
                <w:szCs w:val="21"/>
                <w:lang w:val="es-419"/>
              </w:rPr>
              <w:t xml:space="preserve"> del comercio, administración aduanera, salud ambiental, vigilancia del mercado, propiedad intelectual, y entre otros.</w:t>
            </w:r>
          </w:p>
        </w:tc>
      </w:tr>
      <w:tr w:rsidR="00D3718C">
        <w:trPr>
          <w:trHeight w:val="1934"/>
          <w:jc w:val="center"/>
        </w:trPr>
        <w:tc>
          <w:tcPr>
            <w:tcW w:w="1535" w:type="dxa"/>
            <w:vAlign w:val="center"/>
          </w:tcPr>
          <w:p w:rsidR="00D3718C" w:rsidRDefault="00A62F58">
            <w:pPr>
              <w:jc w:val="center"/>
              <w:rPr>
                <w:rFonts w:cs="SimSun"/>
                <w:bCs/>
                <w:color w:val="000000"/>
                <w:szCs w:val="21"/>
                <w:lang w:val="es-ES"/>
              </w:rPr>
            </w:pPr>
            <w:r>
              <w:rPr>
                <w:rFonts w:cs="SimSun"/>
                <w:bCs/>
                <w:color w:val="000000"/>
                <w:szCs w:val="21"/>
                <w:lang w:val="es-ES"/>
              </w:rPr>
              <w:t>Contacto del Organizador</w:t>
            </w:r>
          </w:p>
        </w:tc>
        <w:tc>
          <w:tcPr>
            <w:tcW w:w="8221" w:type="dxa"/>
            <w:gridSpan w:val="4"/>
          </w:tcPr>
          <w:p w:rsidR="00D3718C" w:rsidRDefault="00A62F58">
            <w:pPr>
              <w:jc w:val="left"/>
              <w:rPr>
                <w:rFonts w:cs="SimSun"/>
                <w:bCs/>
                <w:color w:val="000000"/>
                <w:szCs w:val="21"/>
                <w:lang w:val="es-ES"/>
              </w:rPr>
            </w:pPr>
            <w:r>
              <w:rPr>
                <w:rFonts w:cs="SimSun"/>
                <w:bCs/>
                <w:color w:val="000000"/>
                <w:szCs w:val="21"/>
                <w:lang w:val="es-ES"/>
              </w:rPr>
              <w:t>Persona en Contacto del Proyecto o de la recogida</w:t>
            </w:r>
            <w:r>
              <w:rPr>
                <w:rFonts w:cs="SimSun"/>
                <w:bCs/>
                <w:color w:val="000000"/>
                <w:szCs w:val="21"/>
                <w:lang w:val="es-ES"/>
              </w:rPr>
              <w:t>：</w:t>
            </w:r>
          </w:p>
          <w:p w:rsidR="00D3718C" w:rsidRDefault="00A62F58">
            <w:pPr>
              <w:jc w:val="left"/>
              <w:rPr>
                <w:rFonts w:cs="SimSun"/>
                <w:bCs/>
                <w:color w:val="000000"/>
                <w:szCs w:val="21"/>
                <w:lang w:val="es-ES"/>
              </w:rPr>
            </w:pPr>
            <w:r>
              <w:rPr>
                <w:rFonts w:cs="SimSun"/>
                <w:bCs/>
                <w:color w:val="000000"/>
                <w:szCs w:val="21"/>
                <w:lang w:val="es-ES"/>
              </w:rPr>
              <w:t>Srta. Qian Lili/ Srta. Yu Jia</w:t>
            </w:r>
          </w:p>
          <w:p w:rsidR="00D3718C" w:rsidRDefault="00A62F58">
            <w:pPr>
              <w:jc w:val="left"/>
              <w:rPr>
                <w:rFonts w:cs="SimSun"/>
                <w:bCs/>
                <w:color w:val="000000"/>
                <w:szCs w:val="21"/>
                <w:lang w:val="es-ES"/>
              </w:rPr>
            </w:pPr>
            <w:r>
              <w:rPr>
                <w:rFonts w:cs="SimSun"/>
                <w:bCs/>
                <w:color w:val="000000"/>
                <w:szCs w:val="21"/>
                <w:lang w:val="es-ES"/>
              </w:rPr>
              <w:t>Tel: 0086-519-86909915</w:t>
            </w:r>
          </w:p>
          <w:p w:rsidR="00D3718C" w:rsidRDefault="00A62F58">
            <w:pPr>
              <w:jc w:val="left"/>
              <w:rPr>
                <w:rFonts w:cs="SimSun"/>
                <w:bCs/>
                <w:color w:val="000000"/>
                <w:szCs w:val="21"/>
                <w:lang w:val="es-ES"/>
              </w:rPr>
            </w:pPr>
            <w:r>
              <w:rPr>
                <w:rFonts w:cs="SimSun"/>
                <w:bCs/>
                <w:color w:val="000000"/>
                <w:szCs w:val="21"/>
                <w:lang w:val="es-ES"/>
              </w:rPr>
              <w:t>Celular: 0086-15051968723 (Qian); 0086-13915068174 (Yu)</w:t>
            </w:r>
          </w:p>
          <w:p w:rsidR="00D3718C" w:rsidRDefault="00A62F58">
            <w:pPr>
              <w:jc w:val="left"/>
              <w:rPr>
                <w:rFonts w:cs="SimSun"/>
                <w:bCs/>
                <w:color w:val="000000"/>
                <w:szCs w:val="21"/>
                <w:lang w:val="es-ES"/>
              </w:rPr>
            </w:pPr>
            <w:r>
              <w:rPr>
                <w:rFonts w:cs="SimSun"/>
                <w:bCs/>
                <w:color w:val="000000"/>
                <w:szCs w:val="21"/>
                <w:lang w:val="es-ES"/>
              </w:rPr>
              <w:t>Fax: 0086-519-86909912</w:t>
            </w:r>
          </w:p>
          <w:p w:rsidR="00D3718C" w:rsidRDefault="00A62F58">
            <w:pPr>
              <w:jc w:val="left"/>
              <w:rPr>
                <w:rFonts w:cs="SimSun"/>
                <w:bCs/>
                <w:color w:val="000000"/>
                <w:szCs w:val="21"/>
                <w:lang w:val="es-ES"/>
              </w:rPr>
            </w:pPr>
            <w:r>
              <w:rPr>
                <w:rFonts w:cs="SimSun"/>
                <w:bCs/>
                <w:color w:val="000000"/>
                <w:szCs w:val="21"/>
                <w:lang w:val="es-ES"/>
              </w:rPr>
              <w:t xml:space="preserve">E-mail: </w:t>
            </w:r>
            <w:r>
              <w:rPr>
                <w:color w:val="000000"/>
                <w:lang w:val="es-ES"/>
              </w:rPr>
              <w:t>jsiq2006@126.com</w:t>
            </w:r>
          </w:p>
          <w:p w:rsidR="00D3718C" w:rsidRDefault="00A62F58">
            <w:pPr>
              <w:jc w:val="left"/>
              <w:rPr>
                <w:rFonts w:cs="SimSun"/>
                <w:bCs/>
                <w:color w:val="000000"/>
                <w:szCs w:val="21"/>
                <w:lang w:val="es-ES"/>
              </w:rPr>
            </w:pPr>
            <w:r>
              <w:rPr>
                <w:rFonts w:cs="SimSun"/>
                <w:bCs/>
                <w:color w:val="000000"/>
                <w:szCs w:val="21"/>
                <w:lang w:val="es-ES"/>
              </w:rPr>
              <w:t>Wechat: lilymoney / shelleyyujia / a985165233</w:t>
            </w:r>
          </w:p>
        </w:tc>
      </w:tr>
    </w:tbl>
    <w:p w:rsidR="00D3718C" w:rsidRDefault="00D3718C">
      <w:pPr>
        <w:spacing w:before="100" w:beforeAutospacing="1" w:after="100" w:afterAutospacing="1" w:line="420" w:lineRule="exact"/>
        <w:rPr>
          <w:b/>
          <w:bCs/>
          <w:color w:val="FF0000"/>
          <w:szCs w:val="21"/>
          <w:lang w:val="es-ES"/>
        </w:rPr>
      </w:pPr>
    </w:p>
    <w:sectPr w:rsidR="00D3718C">
      <w:headerReference w:type="even" r:id="rId6"/>
      <w:headerReference w:type="default" r:id="rId7"/>
      <w:footerReference w:type="even" r:id="rId8"/>
      <w:footerReference w:type="default" r:id="rId9"/>
      <w:headerReference w:type="first" r:id="rId10"/>
      <w:footerReference w:type="first" r:id="rId11"/>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58" w:rsidRDefault="00A62F58" w:rsidP="00A62F58">
      <w:r>
        <w:separator/>
      </w:r>
    </w:p>
  </w:endnote>
  <w:endnote w:type="continuationSeparator" w:id="0">
    <w:p w:rsidR="00A62F58" w:rsidRDefault="00A62F58" w:rsidP="00A6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w:charset w:val="86"/>
    <w:family w:val="modern"/>
    <w:pitch w:val="default"/>
    <w:sig w:usb0="00000000" w:usb1="38CF7CFA" w:usb2="00000016" w:usb3="00000000" w:csb0="00040001" w:csb1="00000000"/>
  </w:font>
  <w:font w:name="NSimSun">
    <w:altName w:val="新宋体"/>
    <w:panose1 w:val="02010609030101010101"/>
    <w:charset w:val="86"/>
    <w:family w:val="modern"/>
    <w:pitch w:val="fixed"/>
    <w:sig w:usb0="00000283" w:usb1="288F0000" w:usb2="00000016" w:usb3="00000000" w:csb0="00040001"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58" w:rsidRDefault="00A62F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58" w:rsidRDefault="00A62F5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58" w:rsidRDefault="00A62F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58" w:rsidRDefault="00A62F58" w:rsidP="00A62F58">
      <w:r>
        <w:separator/>
      </w:r>
    </w:p>
  </w:footnote>
  <w:footnote w:type="continuationSeparator" w:id="0">
    <w:p w:rsidR="00A62F58" w:rsidRDefault="00A62F58" w:rsidP="00A62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58" w:rsidRDefault="00A62F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58" w:rsidRDefault="00A62F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58" w:rsidRDefault="00A62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noPunctuationKerning/>
  <w:characterSpacingControl w:val="compressPunctuation"/>
  <w:doNotValidateAgainstSchema/>
  <w:doNotDemarcateInvalidXml/>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C58"/>
    <w:rsid w:val="00040E24"/>
    <w:rsid w:val="00040F79"/>
    <w:rsid w:val="00061C5B"/>
    <w:rsid w:val="000853B2"/>
    <w:rsid w:val="00091F6A"/>
    <w:rsid w:val="000A3FB9"/>
    <w:rsid w:val="000A43CB"/>
    <w:rsid w:val="000A6E7E"/>
    <w:rsid w:val="000C4D19"/>
    <w:rsid w:val="000D02FA"/>
    <w:rsid w:val="000E0762"/>
    <w:rsid w:val="000F0A83"/>
    <w:rsid w:val="001046D2"/>
    <w:rsid w:val="00107871"/>
    <w:rsid w:val="00113733"/>
    <w:rsid w:val="0012354A"/>
    <w:rsid w:val="001401EF"/>
    <w:rsid w:val="0014589B"/>
    <w:rsid w:val="00150D59"/>
    <w:rsid w:val="0015549E"/>
    <w:rsid w:val="00172A27"/>
    <w:rsid w:val="00195A9F"/>
    <w:rsid w:val="001A5CE7"/>
    <w:rsid w:val="001C3CEF"/>
    <w:rsid w:val="001D2322"/>
    <w:rsid w:val="001D5145"/>
    <w:rsid w:val="001D6EF9"/>
    <w:rsid w:val="001E272A"/>
    <w:rsid w:val="001E3FBD"/>
    <w:rsid w:val="00226CFB"/>
    <w:rsid w:val="002440F6"/>
    <w:rsid w:val="002454FA"/>
    <w:rsid w:val="00262B75"/>
    <w:rsid w:val="002850CD"/>
    <w:rsid w:val="002905AD"/>
    <w:rsid w:val="002911AD"/>
    <w:rsid w:val="002A339B"/>
    <w:rsid w:val="002A3C6A"/>
    <w:rsid w:val="002B1546"/>
    <w:rsid w:val="002C5A01"/>
    <w:rsid w:val="002D1FC6"/>
    <w:rsid w:val="002D7652"/>
    <w:rsid w:val="002E035C"/>
    <w:rsid w:val="002E0EC8"/>
    <w:rsid w:val="002E2A22"/>
    <w:rsid w:val="002E3266"/>
    <w:rsid w:val="002F7131"/>
    <w:rsid w:val="00315EDE"/>
    <w:rsid w:val="00316BA5"/>
    <w:rsid w:val="0033228F"/>
    <w:rsid w:val="00345485"/>
    <w:rsid w:val="003478C2"/>
    <w:rsid w:val="00353F9B"/>
    <w:rsid w:val="00375176"/>
    <w:rsid w:val="003A507C"/>
    <w:rsid w:val="003A68A3"/>
    <w:rsid w:val="003B5D42"/>
    <w:rsid w:val="003D704F"/>
    <w:rsid w:val="003E2F61"/>
    <w:rsid w:val="003E3A4F"/>
    <w:rsid w:val="003F60D1"/>
    <w:rsid w:val="00406495"/>
    <w:rsid w:val="0041052A"/>
    <w:rsid w:val="00413212"/>
    <w:rsid w:val="004203A8"/>
    <w:rsid w:val="00424105"/>
    <w:rsid w:val="00425987"/>
    <w:rsid w:val="004410D2"/>
    <w:rsid w:val="00451437"/>
    <w:rsid w:val="00452281"/>
    <w:rsid w:val="0045284D"/>
    <w:rsid w:val="00463848"/>
    <w:rsid w:val="004733B4"/>
    <w:rsid w:val="0047764B"/>
    <w:rsid w:val="004B4655"/>
    <w:rsid w:val="004B7589"/>
    <w:rsid w:val="004B7BF4"/>
    <w:rsid w:val="004C69E5"/>
    <w:rsid w:val="004C6E6D"/>
    <w:rsid w:val="004D4C24"/>
    <w:rsid w:val="00515201"/>
    <w:rsid w:val="00540639"/>
    <w:rsid w:val="00560FC6"/>
    <w:rsid w:val="0057712E"/>
    <w:rsid w:val="00580A80"/>
    <w:rsid w:val="005B44BC"/>
    <w:rsid w:val="005B7C4F"/>
    <w:rsid w:val="005C5EC7"/>
    <w:rsid w:val="005C6676"/>
    <w:rsid w:val="005D5189"/>
    <w:rsid w:val="005F366C"/>
    <w:rsid w:val="005F5712"/>
    <w:rsid w:val="00613942"/>
    <w:rsid w:val="00614DA6"/>
    <w:rsid w:val="00626AFB"/>
    <w:rsid w:val="00631A9A"/>
    <w:rsid w:val="00634435"/>
    <w:rsid w:val="006509D7"/>
    <w:rsid w:val="00660673"/>
    <w:rsid w:val="00677FA9"/>
    <w:rsid w:val="0069187F"/>
    <w:rsid w:val="00691FAE"/>
    <w:rsid w:val="006921A7"/>
    <w:rsid w:val="006940C5"/>
    <w:rsid w:val="006A42BC"/>
    <w:rsid w:val="006A45FA"/>
    <w:rsid w:val="006A4EE2"/>
    <w:rsid w:val="006B405E"/>
    <w:rsid w:val="006C4699"/>
    <w:rsid w:val="006D781D"/>
    <w:rsid w:val="006E2907"/>
    <w:rsid w:val="006F7D87"/>
    <w:rsid w:val="00711E11"/>
    <w:rsid w:val="00712073"/>
    <w:rsid w:val="00721E85"/>
    <w:rsid w:val="00736D57"/>
    <w:rsid w:val="00740A53"/>
    <w:rsid w:val="00744B58"/>
    <w:rsid w:val="007562E0"/>
    <w:rsid w:val="0076009F"/>
    <w:rsid w:val="007602AB"/>
    <w:rsid w:val="007646E2"/>
    <w:rsid w:val="007676B5"/>
    <w:rsid w:val="00785EEF"/>
    <w:rsid w:val="007A58AC"/>
    <w:rsid w:val="007B5831"/>
    <w:rsid w:val="007C20E4"/>
    <w:rsid w:val="007D25DD"/>
    <w:rsid w:val="007D2EFB"/>
    <w:rsid w:val="00805D36"/>
    <w:rsid w:val="00810DC3"/>
    <w:rsid w:val="0081397A"/>
    <w:rsid w:val="00820E59"/>
    <w:rsid w:val="0082280B"/>
    <w:rsid w:val="00826139"/>
    <w:rsid w:val="008374EC"/>
    <w:rsid w:val="008445D2"/>
    <w:rsid w:val="00856222"/>
    <w:rsid w:val="008603F0"/>
    <w:rsid w:val="00860F28"/>
    <w:rsid w:val="00861BC3"/>
    <w:rsid w:val="00864F08"/>
    <w:rsid w:val="008654A3"/>
    <w:rsid w:val="00865574"/>
    <w:rsid w:val="008660B2"/>
    <w:rsid w:val="008732FA"/>
    <w:rsid w:val="00880B0A"/>
    <w:rsid w:val="0088134D"/>
    <w:rsid w:val="00886FEA"/>
    <w:rsid w:val="00890E02"/>
    <w:rsid w:val="00891A80"/>
    <w:rsid w:val="008A2D7A"/>
    <w:rsid w:val="008B37F0"/>
    <w:rsid w:val="008C4D0B"/>
    <w:rsid w:val="008D4BAB"/>
    <w:rsid w:val="008D7BCD"/>
    <w:rsid w:val="008E5B3F"/>
    <w:rsid w:val="008E6893"/>
    <w:rsid w:val="008E6A80"/>
    <w:rsid w:val="008F0D44"/>
    <w:rsid w:val="0090268F"/>
    <w:rsid w:val="00904EFC"/>
    <w:rsid w:val="00905C7C"/>
    <w:rsid w:val="00907F69"/>
    <w:rsid w:val="00926E46"/>
    <w:rsid w:val="00940F7D"/>
    <w:rsid w:val="0094217A"/>
    <w:rsid w:val="00942F56"/>
    <w:rsid w:val="0095717E"/>
    <w:rsid w:val="009720EB"/>
    <w:rsid w:val="00974F70"/>
    <w:rsid w:val="009764B7"/>
    <w:rsid w:val="00985B40"/>
    <w:rsid w:val="00990904"/>
    <w:rsid w:val="00992791"/>
    <w:rsid w:val="009A3CE0"/>
    <w:rsid w:val="009A59C0"/>
    <w:rsid w:val="009B0F6D"/>
    <w:rsid w:val="009B11CB"/>
    <w:rsid w:val="009B7BD7"/>
    <w:rsid w:val="009E6561"/>
    <w:rsid w:val="009F5E82"/>
    <w:rsid w:val="009F6BBC"/>
    <w:rsid w:val="00A02290"/>
    <w:rsid w:val="00A07587"/>
    <w:rsid w:val="00A129C3"/>
    <w:rsid w:val="00A201CA"/>
    <w:rsid w:val="00A2484C"/>
    <w:rsid w:val="00A32DB8"/>
    <w:rsid w:val="00A4586B"/>
    <w:rsid w:val="00A47760"/>
    <w:rsid w:val="00A62F58"/>
    <w:rsid w:val="00A64DFE"/>
    <w:rsid w:val="00A65090"/>
    <w:rsid w:val="00A701F4"/>
    <w:rsid w:val="00A704CE"/>
    <w:rsid w:val="00A71164"/>
    <w:rsid w:val="00A766AC"/>
    <w:rsid w:val="00AB3C1D"/>
    <w:rsid w:val="00AB6947"/>
    <w:rsid w:val="00AC1324"/>
    <w:rsid w:val="00AC136E"/>
    <w:rsid w:val="00AE1AD3"/>
    <w:rsid w:val="00AE2080"/>
    <w:rsid w:val="00B06716"/>
    <w:rsid w:val="00B63DE3"/>
    <w:rsid w:val="00B72990"/>
    <w:rsid w:val="00B77960"/>
    <w:rsid w:val="00B929DB"/>
    <w:rsid w:val="00BA724E"/>
    <w:rsid w:val="00BC30C2"/>
    <w:rsid w:val="00BC504A"/>
    <w:rsid w:val="00BC5C3A"/>
    <w:rsid w:val="00BC68BA"/>
    <w:rsid w:val="00C0538F"/>
    <w:rsid w:val="00C07F1F"/>
    <w:rsid w:val="00C103FC"/>
    <w:rsid w:val="00C54E87"/>
    <w:rsid w:val="00C80C78"/>
    <w:rsid w:val="00C847C9"/>
    <w:rsid w:val="00C8703A"/>
    <w:rsid w:val="00C935A1"/>
    <w:rsid w:val="00C9530E"/>
    <w:rsid w:val="00CA2806"/>
    <w:rsid w:val="00CA56FF"/>
    <w:rsid w:val="00CB08E2"/>
    <w:rsid w:val="00CB39E2"/>
    <w:rsid w:val="00CB66F1"/>
    <w:rsid w:val="00CC0F23"/>
    <w:rsid w:val="00CC1D12"/>
    <w:rsid w:val="00CE5F45"/>
    <w:rsid w:val="00CE7066"/>
    <w:rsid w:val="00CF4B31"/>
    <w:rsid w:val="00CF7BD2"/>
    <w:rsid w:val="00D30C79"/>
    <w:rsid w:val="00D3718C"/>
    <w:rsid w:val="00D622B1"/>
    <w:rsid w:val="00D67344"/>
    <w:rsid w:val="00D7004C"/>
    <w:rsid w:val="00D70F25"/>
    <w:rsid w:val="00D7388C"/>
    <w:rsid w:val="00DA17C3"/>
    <w:rsid w:val="00DA7D24"/>
    <w:rsid w:val="00DB2484"/>
    <w:rsid w:val="00DB4BB4"/>
    <w:rsid w:val="00DD0BF4"/>
    <w:rsid w:val="00DE1BD1"/>
    <w:rsid w:val="00DE409E"/>
    <w:rsid w:val="00DE77BA"/>
    <w:rsid w:val="00E35C2A"/>
    <w:rsid w:val="00E50113"/>
    <w:rsid w:val="00E51BC3"/>
    <w:rsid w:val="00E60627"/>
    <w:rsid w:val="00E6522F"/>
    <w:rsid w:val="00E8351C"/>
    <w:rsid w:val="00EA018B"/>
    <w:rsid w:val="00EC6CF3"/>
    <w:rsid w:val="00EE196B"/>
    <w:rsid w:val="00F11B05"/>
    <w:rsid w:val="00F12188"/>
    <w:rsid w:val="00F32DF9"/>
    <w:rsid w:val="00F5005E"/>
    <w:rsid w:val="00F54990"/>
    <w:rsid w:val="00F66935"/>
    <w:rsid w:val="00F7468D"/>
    <w:rsid w:val="00F809AF"/>
    <w:rsid w:val="00F83C73"/>
    <w:rsid w:val="00F878AE"/>
    <w:rsid w:val="00F924A0"/>
    <w:rsid w:val="00FB32AC"/>
    <w:rsid w:val="00FB4053"/>
    <w:rsid w:val="00FB47E8"/>
    <w:rsid w:val="00FC2F67"/>
    <w:rsid w:val="00FC3B83"/>
    <w:rsid w:val="00FC6C4D"/>
    <w:rsid w:val="00FD571E"/>
    <w:rsid w:val="00FD5B37"/>
    <w:rsid w:val="00FE3314"/>
    <w:rsid w:val="00FE5549"/>
    <w:rsid w:val="00FF53AE"/>
    <w:rsid w:val="00FF69A7"/>
    <w:rsid w:val="01B97E60"/>
    <w:rsid w:val="025F1617"/>
    <w:rsid w:val="03EB676E"/>
    <w:rsid w:val="05ED0518"/>
    <w:rsid w:val="08D17CF5"/>
    <w:rsid w:val="0B472388"/>
    <w:rsid w:val="0C2E46FA"/>
    <w:rsid w:val="0D7D2AE9"/>
    <w:rsid w:val="0E071247"/>
    <w:rsid w:val="0F4303E8"/>
    <w:rsid w:val="0FF97895"/>
    <w:rsid w:val="1221471D"/>
    <w:rsid w:val="14814BFA"/>
    <w:rsid w:val="154F0A75"/>
    <w:rsid w:val="17E00C2E"/>
    <w:rsid w:val="193E076A"/>
    <w:rsid w:val="21827230"/>
    <w:rsid w:val="249B26B7"/>
    <w:rsid w:val="25A03958"/>
    <w:rsid w:val="26C252BA"/>
    <w:rsid w:val="27F62864"/>
    <w:rsid w:val="28652CDA"/>
    <w:rsid w:val="2A9262B5"/>
    <w:rsid w:val="2D6807BF"/>
    <w:rsid w:val="2ED021B4"/>
    <w:rsid w:val="2F1D48D5"/>
    <w:rsid w:val="302D0AED"/>
    <w:rsid w:val="330A7165"/>
    <w:rsid w:val="341C2C14"/>
    <w:rsid w:val="368A21C2"/>
    <w:rsid w:val="37D269E8"/>
    <w:rsid w:val="3A4D17AE"/>
    <w:rsid w:val="3A62342C"/>
    <w:rsid w:val="3E985859"/>
    <w:rsid w:val="422C3B4A"/>
    <w:rsid w:val="44296BC7"/>
    <w:rsid w:val="45EE6958"/>
    <w:rsid w:val="49F32C11"/>
    <w:rsid w:val="4B8329A3"/>
    <w:rsid w:val="4C970862"/>
    <w:rsid w:val="4E7C4A8C"/>
    <w:rsid w:val="4ED106E6"/>
    <w:rsid w:val="5018453E"/>
    <w:rsid w:val="502426A2"/>
    <w:rsid w:val="502D0AE0"/>
    <w:rsid w:val="50C70057"/>
    <w:rsid w:val="51041B40"/>
    <w:rsid w:val="528A3FA4"/>
    <w:rsid w:val="59F55223"/>
    <w:rsid w:val="5C632585"/>
    <w:rsid w:val="5C9224CF"/>
    <w:rsid w:val="5D891651"/>
    <w:rsid w:val="5E0127BA"/>
    <w:rsid w:val="5F0F746E"/>
    <w:rsid w:val="603778A8"/>
    <w:rsid w:val="61A251B1"/>
    <w:rsid w:val="62734477"/>
    <w:rsid w:val="65BD06A8"/>
    <w:rsid w:val="68EB5493"/>
    <w:rsid w:val="68F71FC3"/>
    <w:rsid w:val="69781BDF"/>
    <w:rsid w:val="6A7327B4"/>
    <w:rsid w:val="6A833243"/>
    <w:rsid w:val="6A8420FD"/>
    <w:rsid w:val="6AC63410"/>
    <w:rsid w:val="6AE93163"/>
    <w:rsid w:val="6B63319B"/>
    <w:rsid w:val="6C26636C"/>
    <w:rsid w:val="6C963990"/>
    <w:rsid w:val="6D441654"/>
    <w:rsid w:val="6F687608"/>
    <w:rsid w:val="70062795"/>
    <w:rsid w:val="71616F76"/>
    <w:rsid w:val="71F42346"/>
    <w:rsid w:val="73F45054"/>
    <w:rsid w:val="74023289"/>
    <w:rsid w:val="74121D8F"/>
    <w:rsid w:val="74F72A19"/>
    <w:rsid w:val="75662DAB"/>
    <w:rsid w:val="764A6C26"/>
    <w:rsid w:val="76D13D5F"/>
    <w:rsid w:val="76D52484"/>
    <w:rsid w:val="77F16AEA"/>
    <w:rsid w:val="782E55DD"/>
    <w:rsid w:val="7A0301A0"/>
    <w:rsid w:val="7A0B4B39"/>
    <w:rsid w:val="7F15074B"/>
    <w:rsid w:val="7F987F7F"/>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E830A77E-43FF-C641-B62D-6E0C8539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uiPriority w:val="99"/>
    <w:unhideWhenUsed/>
    <w:pPr>
      <w:jc w:val="left"/>
    </w:pPr>
  </w:style>
  <w:style w:type="paragraph" w:styleId="Textoindependiente">
    <w:name w:val="Body Text"/>
    <w:basedOn w:val="Normal"/>
    <w:uiPriority w:val="1"/>
    <w:qFormat/>
    <w:rPr>
      <w:rFonts w:ascii="仿宋" w:eastAsia="仿宋" w:hAnsi="仿宋" w:cs="仿宋"/>
      <w:sz w:val="28"/>
      <w:szCs w:val="28"/>
    </w:rPr>
  </w:style>
  <w:style w:type="paragraph" w:styleId="Textodeglobo">
    <w:name w:val="Balloon Text"/>
    <w:basedOn w:val="Normal"/>
    <w:link w:val="TextodegloboCar"/>
    <w:uiPriority w:val="99"/>
    <w:unhideWhenUsed/>
    <w:rPr>
      <w:sz w:val="18"/>
      <w:szCs w:val="18"/>
    </w:rPr>
  </w:style>
  <w:style w:type="character" w:customStyle="1" w:styleId="TextodegloboCar">
    <w:name w:val="Texto de globo Car"/>
    <w:link w:val="Textodeglobo"/>
    <w:uiPriority w:val="99"/>
    <w:semiHidden/>
    <w:rPr>
      <w:kern w:val="2"/>
      <w:sz w:val="18"/>
      <w:szCs w:val="18"/>
    </w:rPr>
  </w:style>
  <w:style w:type="paragraph" w:styleId="Piedepgina">
    <w:name w:val="footer"/>
    <w:basedOn w:val="Normal"/>
    <w:pPr>
      <w:tabs>
        <w:tab w:val="center" w:pos="4153"/>
        <w:tab w:val="right" w:pos="8306"/>
      </w:tabs>
      <w:snapToGrid w:val="0"/>
      <w:jc w:val="left"/>
    </w:pPr>
    <w:rPr>
      <w:sz w:val="18"/>
    </w:rPr>
  </w:style>
  <w:style w:type="paragraph" w:styleId="Encabezado">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unhideWhenUsed/>
    <w:pPr>
      <w:spacing w:before="100" w:beforeAutospacing="1" w:after="100" w:afterAutospacing="1"/>
      <w:jc w:val="left"/>
    </w:pPr>
    <w:rPr>
      <w:kern w:val="0"/>
      <w:sz w:val="24"/>
    </w:rPr>
  </w:style>
  <w:style w:type="character" w:styleId="Nmerodepgina">
    <w:name w:val="page number"/>
    <w:uiPriority w:val="99"/>
    <w:unhideWhenUsed/>
  </w:style>
  <w:style w:type="character" w:styleId="Hipervnculo">
    <w:name w:val="Hyperlink"/>
    <w:uiPriority w:val="99"/>
    <w:unhideWhenUsed/>
    <w:rPr>
      <w:color w:val="0000FF"/>
      <w:u w:val="single"/>
    </w:rPr>
  </w:style>
  <w:style w:type="character" w:customStyle="1" w:styleId="UnresolvedMention">
    <w:name w:val="Unresolved Mention"/>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7148</Characters>
  <Application>Microsoft Office Word</Application>
  <DocSecurity>4</DocSecurity>
  <PresentationFormat/>
  <Lines>59</Lines>
  <Paragraphs>16</Paragraphs>
  <Slides>0</Slides>
  <Notes>0</Notes>
  <HiddenSlides>0</HiddenSlides>
  <MMClips>0</MMClips>
  <ScaleCrop>false</ScaleCrop>
  <Manager/>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关于2015年东盟国家标准化官员研修班项目简介</dc:title>
  <dc:subject/>
  <dc:creator>Administrator</dc:creator>
  <cp:keywords/>
  <dc:description/>
  <cp:lastModifiedBy>Alumno</cp:lastModifiedBy>
  <cp:revision>2</cp:revision>
  <cp:lastPrinted>2021-06-24T11:48:00Z</cp:lastPrinted>
  <dcterms:created xsi:type="dcterms:W3CDTF">2021-08-20T21:38:00Z</dcterms:created>
  <dcterms:modified xsi:type="dcterms:W3CDTF">2021-08-20T21:38:00Z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A521E4B0F8EA49B6B1F6EF0C050717B2</vt:lpwstr>
  </property>
</Properties>
</file>