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EB" w:rsidRDefault="00E30FEB"/>
    <w:p w:rsidR="00E30FEB" w:rsidRDefault="002531E5">
      <w:pPr>
        <w:jc w:val="center"/>
        <w:rPr>
          <w:rFonts w:eastAsia="SimHei"/>
          <w:b/>
          <w:sz w:val="32"/>
          <w:szCs w:val="32"/>
          <w:lang w:val="es-ES"/>
        </w:rPr>
      </w:pPr>
      <w:r>
        <w:rPr>
          <w:rFonts w:eastAsia="SimHei"/>
          <w:b/>
          <w:sz w:val="32"/>
          <w:szCs w:val="32"/>
          <w:lang w:val="es-ES"/>
        </w:rPr>
        <w:t xml:space="preserve">Seminario sobre Cooperación en Construcción </w:t>
      </w:r>
    </w:p>
    <w:p w:rsidR="00E30FEB" w:rsidRDefault="002531E5">
      <w:pPr>
        <w:jc w:val="center"/>
        <w:rPr>
          <w:rFonts w:eastAsia="SimHei"/>
          <w:b/>
          <w:sz w:val="32"/>
          <w:szCs w:val="32"/>
          <w:lang w:val="es-ES"/>
        </w:rPr>
      </w:pPr>
      <w:r>
        <w:rPr>
          <w:rFonts w:eastAsia="SimHei"/>
          <w:b/>
          <w:sz w:val="32"/>
          <w:szCs w:val="32"/>
          <w:lang w:val="es-ES"/>
        </w:rPr>
        <w:t>de La Franja y la Ruta China-América Latina</w:t>
      </w:r>
    </w:p>
    <w:p w:rsidR="00E30FEB" w:rsidRDefault="002531E5">
      <w:pPr>
        <w:jc w:val="center"/>
        <w:rPr>
          <w:lang w:val="es-ES"/>
        </w:rPr>
      </w:pPr>
      <w:r>
        <w:rPr>
          <w:rFonts w:eastAsia="SimHei"/>
          <w:b/>
          <w:sz w:val="32"/>
          <w:szCs w:val="32"/>
          <w:lang w:val="es-ES"/>
        </w:rPr>
        <w:t>Descripción de Proyecto</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163"/>
        <w:gridCol w:w="1262"/>
        <w:gridCol w:w="2406"/>
        <w:gridCol w:w="2390"/>
      </w:tblGrid>
      <w:tr w:rsidR="00E30FEB">
        <w:trPr>
          <w:trHeight w:hRule="exact" w:val="567"/>
          <w:jc w:val="center"/>
        </w:trPr>
        <w:tc>
          <w:tcPr>
            <w:tcW w:w="1535" w:type="dxa"/>
            <w:vAlign w:val="center"/>
          </w:tcPr>
          <w:p w:rsidR="00E30FEB" w:rsidRDefault="002531E5">
            <w:pPr>
              <w:spacing w:before="100" w:beforeAutospacing="1" w:after="100" w:afterAutospacing="1" w:line="400" w:lineRule="exact"/>
              <w:jc w:val="center"/>
              <w:rPr>
                <w:b/>
                <w:color w:val="000000"/>
                <w:szCs w:val="21"/>
                <w:lang w:val="es-MX"/>
              </w:rPr>
            </w:pPr>
            <w:r>
              <w:rPr>
                <w:color w:val="000000"/>
                <w:szCs w:val="21"/>
                <w:lang w:val="es-ES"/>
              </w:rPr>
              <w:t>Programa</w:t>
            </w:r>
          </w:p>
        </w:tc>
        <w:tc>
          <w:tcPr>
            <w:tcW w:w="8221" w:type="dxa"/>
            <w:gridSpan w:val="4"/>
            <w:vAlign w:val="center"/>
          </w:tcPr>
          <w:p w:rsidR="00E30FEB" w:rsidRDefault="002531E5">
            <w:pPr>
              <w:jc w:val="center"/>
              <w:rPr>
                <w:lang w:val="fr-FR"/>
              </w:rPr>
            </w:pPr>
            <w:r>
              <w:rPr>
                <w:lang w:val="fr-FR"/>
              </w:rPr>
              <w:t>Seminario sobre Cooperación en Construcción de La Franja y la Ruta China-América Latina</w:t>
            </w:r>
          </w:p>
        </w:tc>
      </w:tr>
      <w:tr w:rsidR="00E30FEB">
        <w:trPr>
          <w:trHeight w:hRule="exact" w:val="567"/>
          <w:jc w:val="center"/>
        </w:trPr>
        <w:tc>
          <w:tcPr>
            <w:tcW w:w="1535" w:type="dxa"/>
            <w:vAlign w:val="center"/>
          </w:tcPr>
          <w:p w:rsidR="00E30FEB" w:rsidRDefault="002531E5">
            <w:pPr>
              <w:spacing w:before="100" w:beforeAutospacing="1" w:after="100" w:afterAutospacing="1" w:line="400" w:lineRule="exact"/>
              <w:jc w:val="center"/>
              <w:rPr>
                <w:b/>
                <w:color w:val="000000"/>
                <w:szCs w:val="21"/>
                <w:lang w:val="es-MX"/>
              </w:rPr>
            </w:pPr>
            <w:proofErr w:type="spellStart"/>
            <w:r>
              <w:rPr>
                <w:color w:val="000000"/>
                <w:szCs w:val="21"/>
              </w:rPr>
              <w:t>Organizador</w:t>
            </w:r>
            <w:proofErr w:type="spellEnd"/>
          </w:p>
        </w:tc>
        <w:tc>
          <w:tcPr>
            <w:tcW w:w="8221" w:type="dxa"/>
            <w:gridSpan w:val="4"/>
            <w:vAlign w:val="center"/>
          </w:tcPr>
          <w:p w:rsidR="00E30FEB" w:rsidRDefault="002531E5">
            <w:pPr>
              <w:jc w:val="center"/>
              <w:rPr>
                <w:lang w:val="es-ES"/>
              </w:rPr>
            </w:pPr>
            <w:r>
              <w:rPr>
                <w:lang w:val="es-ES"/>
              </w:rPr>
              <w:t xml:space="preserve">Academia para Funcionarios </w:t>
            </w:r>
            <w:r>
              <w:rPr>
                <w:lang w:val="es-ES"/>
              </w:rPr>
              <w:t>Internacionales de Negocios, MOFCOM</w:t>
            </w:r>
          </w:p>
        </w:tc>
      </w:tr>
      <w:tr w:rsidR="00E30FEB">
        <w:trPr>
          <w:trHeight w:hRule="exact" w:val="567"/>
          <w:jc w:val="center"/>
        </w:trPr>
        <w:tc>
          <w:tcPr>
            <w:tcW w:w="1535" w:type="dxa"/>
            <w:vAlign w:val="center"/>
          </w:tcPr>
          <w:p w:rsidR="00E30FEB" w:rsidRDefault="002531E5">
            <w:pPr>
              <w:spacing w:line="400" w:lineRule="exact"/>
              <w:jc w:val="center"/>
              <w:rPr>
                <w:b/>
                <w:color w:val="000000"/>
                <w:szCs w:val="21"/>
                <w:lang w:val="es-MX"/>
              </w:rPr>
            </w:pPr>
            <w:proofErr w:type="spellStart"/>
            <w:r>
              <w:rPr>
                <w:color w:val="000000"/>
                <w:szCs w:val="21"/>
              </w:rPr>
              <w:t>Fecha</w:t>
            </w:r>
            <w:proofErr w:type="spellEnd"/>
          </w:p>
        </w:tc>
        <w:tc>
          <w:tcPr>
            <w:tcW w:w="3425" w:type="dxa"/>
            <w:gridSpan w:val="2"/>
            <w:vAlign w:val="center"/>
          </w:tcPr>
          <w:p w:rsidR="00E30FEB" w:rsidRDefault="002531E5">
            <w:pPr>
              <w:jc w:val="center"/>
            </w:pPr>
            <w:r>
              <w:t xml:space="preserve">2021.12.09-12.22 (14 </w:t>
            </w:r>
            <w:proofErr w:type="spellStart"/>
            <w:r>
              <w:t>días</w:t>
            </w:r>
            <w:proofErr w:type="spellEnd"/>
            <w:r>
              <w:t>)</w:t>
            </w:r>
          </w:p>
        </w:tc>
        <w:tc>
          <w:tcPr>
            <w:tcW w:w="2406" w:type="dxa"/>
            <w:vAlign w:val="center"/>
          </w:tcPr>
          <w:p w:rsidR="00E30FEB" w:rsidRDefault="002531E5">
            <w:pPr>
              <w:jc w:val="center"/>
            </w:pPr>
            <w:proofErr w:type="spellStart"/>
            <w:r>
              <w:t>Lengua</w:t>
            </w:r>
            <w:proofErr w:type="spellEnd"/>
          </w:p>
        </w:tc>
        <w:tc>
          <w:tcPr>
            <w:tcW w:w="2390" w:type="dxa"/>
            <w:vAlign w:val="center"/>
          </w:tcPr>
          <w:p w:rsidR="00E30FEB" w:rsidRDefault="002531E5">
            <w:pPr>
              <w:jc w:val="center"/>
            </w:pPr>
            <w:proofErr w:type="spellStart"/>
            <w:r>
              <w:t>Español</w:t>
            </w:r>
            <w:proofErr w:type="spellEnd"/>
          </w:p>
        </w:tc>
      </w:tr>
      <w:tr w:rsidR="00E30FEB">
        <w:trPr>
          <w:trHeight w:hRule="exact" w:val="567"/>
          <w:jc w:val="center"/>
        </w:trPr>
        <w:tc>
          <w:tcPr>
            <w:tcW w:w="1535" w:type="dxa"/>
            <w:vAlign w:val="center"/>
          </w:tcPr>
          <w:p w:rsidR="00E30FEB" w:rsidRDefault="002531E5">
            <w:pPr>
              <w:jc w:val="center"/>
            </w:pPr>
            <w:r>
              <w:rPr>
                <w:rStyle w:val="jlqj4b"/>
                <w:lang w:val="es-ES"/>
              </w:rPr>
              <w:t>Forma</w:t>
            </w:r>
          </w:p>
        </w:tc>
        <w:tc>
          <w:tcPr>
            <w:tcW w:w="3425" w:type="dxa"/>
            <w:gridSpan w:val="2"/>
            <w:vAlign w:val="center"/>
          </w:tcPr>
          <w:p w:rsidR="00E30FEB" w:rsidRDefault="002531E5">
            <w:pPr>
              <w:jc w:val="center"/>
            </w:pPr>
            <w:r>
              <w:rPr>
                <w:rStyle w:val="jlqj4b"/>
                <w:lang w:val="es-ES"/>
              </w:rPr>
              <w:t>Seminario online</w:t>
            </w:r>
          </w:p>
        </w:tc>
        <w:tc>
          <w:tcPr>
            <w:tcW w:w="2406" w:type="dxa"/>
            <w:vAlign w:val="center"/>
          </w:tcPr>
          <w:p w:rsidR="00E30FEB" w:rsidRDefault="002531E5">
            <w:pPr>
              <w:jc w:val="center"/>
            </w:pPr>
            <w:r>
              <w:rPr>
                <w:rStyle w:val="jlqj4b"/>
                <w:lang w:val="es-ES"/>
              </w:rPr>
              <w:t>Plataforma</w:t>
            </w:r>
          </w:p>
        </w:tc>
        <w:tc>
          <w:tcPr>
            <w:tcW w:w="2390" w:type="dxa"/>
            <w:vAlign w:val="center"/>
          </w:tcPr>
          <w:p w:rsidR="00E30FEB" w:rsidRDefault="002531E5">
            <w:pPr>
              <w:jc w:val="center"/>
            </w:pPr>
            <w:proofErr w:type="spellStart"/>
            <w:r>
              <w:t>VooV</w:t>
            </w:r>
            <w:proofErr w:type="spellEnd"/>
            <w:r>
              <w:t xml:space="preserve"> Meeting</w:t>
            </w:r>
          </w:p>
        </w:tc>
      </w:tr>
      <w:tr w:rsidR="00E30FEB">
        <w:trPr>
          <w:trHeight w:hRule="exact" w:val="567"/>
          <w:jc w:val="center"/>
        </w:trPr>
        <w:tc>
          <w:tcPr>
            <w:tcW w:w="1535" w:type="dxa"/>
            <w:vAlign w:val="center"/>
          </w:tcPr>
          <w:p w:rsidR="00E30FEB" w:rsidRDefault="002531E5">
            <w:pPr>
              <w:jc w:val="center"/>
              <w:rPr>
                <w:lang w:val="fr-FR"/>
              </w:rPr>
            </w:pPr>
            <w:r>
              <w:rPr>
                <w:rStyle w:val="jlqj4b"/>
                <w:lang w:val="es-ES"/>
              </w:rPr>
              <w:t>Países invitados</w:t>
            </w:r>
            <w:r>
              <w:rPr>
                <w:lang w:val="fr-FR"/>
              </w:rPr>
              <w:t xml:space="preserve"> </w:t>
            </w:r>
            <w:proofErr w:type="spellStart"/>
            <w:r>
              <w:rPr>
                <w:rStyle w:val="jlqj4b"/>
                <w:lang w:val="es-ES"/>
              </w:rPr>
              <w:t>invitados</w:t>
            </w:r>
            <w:proofErr w:type="spellEnd"/>
          </w:p>
        </w:tc>
        <w:tc>
          <w:tcPr>
            <w:tcW w:w="3425" w:type="dxa"/>
            <w:gridSpan w:val="2"/>
            <w:vAlign w:val="center"/>
          </w:tcPr>
          <w:p w:rsidR="00E30FEB" w:rsidRDefault="002531E5">
            <w:pPr>
              <w:jc w:val="center"/>
              <w:rPr>
                <w:lang w:val="es-ES"/>
              </w:rPr>
            </w:pPr>
            <w:r>
              <w:rPr>
                <w:lang w:val="fr-FR"/>
              </w:rPr>
              <w:t>los países latinoamericanos</w:t>
            </w:r>
          </w:p>
        </w:tc>
        <w:tc>
          <w:tcPr>
            <w:tcW w:w="2406" w:type="dxa"/>
            <w:shd w:val="clear" w:color="auto" w:fill="auto"/>
            <w:vAlign w:val="center"/>
          </w:tcPr>
          <w:p w:rsidR="00E30FEB" w:rsidRDefault="002531E5">
            <w:pPr>
              <w:jc w:val="center"/>
              <w:rPr>
                <w:lang w:val="fr-FR"/>
              </w:rPr>
            </w:pPr>
            <w:r>
              <w:rPr>
                <w:lang w:val="fr-FR"/>
              </w:rPr>
              <w:t>Número de participantes</w:t>
            </w:r>
          </w:p>
        </w:tc>
        <w:tc>
          <w:tcPr>
            <w:tcW w:w="2390" w:type="dxa"/>
            <w:shd w:val="clear" w:color="auto" w:fill="auto"/>
            <w:vAlign w:val="center"/>
          </w:tcPr>
          <w:p w:rsidR="00E30FEB" w:rsidRDefault="00E30FEB" w:rsidP="002531E5">
            <w:bookmarkStart w:id="0" w:name="_GoBack"/>
            <w:bookmarkEnd w:id="0"/>
          </w:p>
        </w:tc>
      </w:tr>
      <w:tr w:rsidR="00E30FEB">
        <w:trPr>
          <w:trHeight w:val="1217"/>
          <w:jc w:val="center"/>
        </w:trPr>
        <w:tc>
          <w:tcPr>
            <w:tcW w:w="1535" w:type="dxa"/>
            <w:vAlign w:val="center"/>
          </w:tcPr>
          <w:p w:rsidR="00E30FEB" w:rsidRDefault="002531E5">
            <w:pPr>
              <w:jc w:val="center"/>
              <w:rPr>
                <w:bCs/>
                <w:color w:val="000000"/>
                <w:szCs w:val="21"/>
              </w:rPr>
            </w:pPr>
            <w:r>
              <w:rPr>
                <w:sz w:val="22"/>
                <w:szCs w:val="22"/>
                <w:lang w:val="es-ES"/>
              </w:rPr>
              <w:t>Objetivo del seminario</w:t>
            </w:r>
          </w:p>
        </w:tc>
        <w:tc>
          <w:tcPr>
            <w:tcW w:w="8221" w:type="dxa"/>
            <w:gridSpan w:val="4"/>
            <w:shd w:val="clear" w:color="auto" w:fill="auto"/>
            <w:vAlign w:val="center"/>
          </w:tcPr>
          <w:p w:rsidR="00E30FEB" w:rsidRDefault="002531E5">
            <w:pPr>
              <w:pStyle w:val="Textocomentario"/>
              <w:jc w:val="both"/>
              <w:rPr>
                <w:bCs/>
                <w:color w:val="000000"/>
                <w:szCs w:val="21"/>
                <w:highlight w:val="yellow"/>
                <w:lang w:val="fr-FR"/>
              </w:rPr>
            </w:pPr>
            <w:r>
              <w:rPr>
                <w:rStyle w:val="jlqj4b"/>
                <w:lang w:val="es-ES"/>
              </w:rPr>
              <w:t>En este</w:t>
            </w:r>
            <w:r>
              <w:rPr>
                <w:rStyle w:val="jlqj4b"/>
                <w:lang w:val="es-ES"/>
              </w:rPr>
              <w:t xml:space="preserve"> seminario presentarán la reforma y apertura y las experiencias de la gobernación y administración de China</w:t>
            </w:r>
            <w:r>
              <w:rPr>
                <w:lang w:val="es-ES"/>
              </w:rPr>
              <w:t xml:space="preserve"> </w:t>
            </w:r>
            <w:r>
              <w:rPr>
                <w:rStyle w:val="jlqj4b"/>
                <w:lang w:val="es-ES"/>
              </w:rPr>
              <w:t>desde múltiples perspectivas, construyendo consensos sobre la cooperación de la “Franja y la Ruta” y ayudando a los países latinoamericanos a conseg</w:t>
            </w:r>
            <w:r>
              <w:rPr>
                <w:rStyle w:val="jlqj4b"/>
                <w:lang w:val="es-ES"/>
              </w:rPr>
              <w:t>uir un desarrollo económico sostenible</w:t>
            </w:r>
            <w:r>
              <w:rPr>
                <w:rStyle w:val="jlqj4b"/>
                <w:lang w:val="es-ES"/>
              </w:rPr>
              <w:t>，</w:t>
            </w:r>
            <w:r>
              <w:rPr>
                <w:rStyle w:val="jlqj4b"/>
                <w:lang w:val="es-ES"/>
              </w:rPr>
              <w:t>así contribuirá a la construcción de la comunidad de futuro compartido para toda la humanidad.</w:t>
            </w:r>
            <w:r>
              <w:rPr>
                <w:lang w:val="es-ES"/>
              </w:rPr>
              <w:t xml:space="preserve"> </w:t>
            </w:r>
          </w:p>
        </w:tc>
      </w:tr>
      <w:tr w:rsidR="00E30FEB">
        <w:trPr>
          <w:trHeight w:val="700"/>
          <w:jc w:val="center"/>
        </w:trPr>
        <w:tc>
          <w:tcPr>
            <w:tcW w:w="1535" w:type="dxa"/>
            <w:vMerge w:val="restart"/>
            <w:vAlign w:val="center"/>
          </w:tcPr>
          <w:p w:rsidR="00E30FEB" w:rsidRDefault="002531E5">
            <w:pPr>
              <w:jc w:val="center"/>
              <w:rPr>
                <w:bCs/>
                <w:color w:val="000000"/>
                <w:szCs w:val="21"/>
              </w:rPr>
            </w:pPr>
            <w:proofErr w:type="spellStart"/>
            <w:r>
              <w:rPr>
                <w:szCs w:val="21"/>
              </w:rPr>
              <w:t>Requisitos</w:t>
            </w:r>
            <w:proofErr w:type="spellEnd"/>
            <w:r>
              <w:rPr>
                <w:szCs w:val="21"/>
              </w:rPr>
              <w:t xml:space="preserve"> para </w:t>
            </w:r>
            <w:proofErr w:type="spellStart"/>
            <w:r>
              <w:rPr>
                <w:szCs w:val="21"/>
              </w:rPr>
              <w:t>participantes</w:t>
            </w:r>
            <w:proofErr w:type="spellEnd"/>
          </w:p>
        </w:tc>
        <w:tc>
          <w:tcPr>
            <w:tcW w:w="2163" w:type="dxa"/>
            <w:shd w:val="clear" w:color="auto" w:fill="auto"/>
            <w:vAlign w:val="center"/>
          </w:tcPr>
          <w:p w:rsidR="00E30FEB" w:rsidRDefault="002531E5">
            <w:pPr>
              <w:pStyle w:val="Textocomentario"/>
              <w:jc w:val="center"/>
              <w:rPr>
                <w:bCs/>
                <w:color w:val="000000"/>
                <w:szCs w:val="21"/>
              </w:rPr>
            </w:pPr>
            <w:proofErr w:type="spellStart"/>
            <w:r>
              <w:rPr>
                <w:bCs/>
                <w:color w:val="000000"/>
                <w:szCs w:val="21"/>
              </w:rPr>
              <w:t>Antecedentes</w:t>
            </w:r>
            <w:proofErr w:type="spellEnd"/>
            <w:r>
              <w:rPr>
                <w:bCs/>
                <w:color w:val="000000"/>
                <w:szCs w:val="21"/>
              </w:rPr>
              <w:t xml:space="preserve"> </w:t>
            </w:r>
            <w:proofErr w:type="spellStart"/>
            <w:r>
              <w:rPr>
                <w:bCs/>
                <w:color w:val="000000"/>
                <w:szCs w:val="21"/>
              </w:rPr>
              <w:t>profesionales</w:t>
            </w:r>
            <w:proofErr w:type="spellEnd"/>
          </w:p>
        </w:tc>
        <w:tc>
          <w:tcPr>
            <w:tcW w:w="6058" w:type="dxa"/>
            <w:gridSpan w:val="3"/>
            <w:shd w:val="clear" w:color="auto" w:fill="auto"/>
            <w:vAlign w:val="center"/>
          </w:tcPr>
          <w:p w:rsidR="00E30FEB" w:rsidRDefault="002531E5">
            <w:pPr>
              <w:rPr>
                <w:color w:val="000000"/>
                <w:szCs w:val="21"/>
                <w:lang w:val="es-ES"/>
              </w:rPr>
            </w:pPr>
            <w:r>
              <w:rPr>
                <w:color w:val="000000"/>
                <w:szCs w:val="21"/>
                <w:lang w:val="es-ES"/>
              </w:rPr>
              <w:t xml:space="preserve">--Área o especialidad: Inversión, Comercio Internacional y </w:t>
            </w:r>
            <w:r>
              <w:rPr>
                <w:color w:val="000000"/>
                <w:szCs w:val="21"/>
                <w:lang w:val="es-ES"/>
              </w:rPr>
              <w:t>otras especialidades relacionadas</w:t>
            </w:r>
          </w:p>
          <w:p w:rsidR="00E30FEB" w:rsidRDefault="002531E5">
            <w:pPr>
              <w:rPr>
                <w:color w:val="000000"/>
                <w:lang w:val="es-ES"/>
              </w:rPr>
            </w:pPr>
            <w:r>
              <w:rPr>
                <w:color w:val="000000"/>
                <w:szCs w:val="21"/>
                <w:lang w:val="es-ES"/>
              </w:rPr>
              <w:t xml:space="preserve">--Posición: </w:t>
            </w:r>
            <w:r>
              <w:rPr>
                <w:color w:val="000000"/>
                <w:lang w:val="es-ES"/>
              </w:rPr>
              <w:t>funcionarios de departamentos relevantes de desarrollo económico y comercio, construcción de infraestructura, etc.</w:t>
            </w:r>
          </w:p>
          <w:p w:rsidR="00E30FEB" w:rsidRDefault="002531E5">
            <w:pPr>
              <w:rPr>
                <w:color w:val="000000"/>
                <w:lang w:val="es-ES"/>
              </w:rPr>
            </w:pPr>
            <w:r>
              <w:rPr>
                <w:color w:val="000000"/>
                <w:lang w:val="es-ES"/>
              </w:rPr>
              <w:t>--Nivel: nivel de división</w:t>
            </w:r>
          </w:p>
        </w:tc>
      </w:tr>
      <w:tr w:rsidR="00E30FEB">
        <w:trPr>
          <w:trHeight w:val="534"/>
          <w:jc w:val="center"/>
        </w:trPr>
        <w:tc>
          <w:tcPr>
            <w:tcW w:w="1535" w:type="dxa"/>
            <w:vMerge/>
            <w:vAlign w:val="center"/>
          </w:tcPr>
          <w:p w:rsidR="00E30FEB" w:rsidRDefault="00E30FEB">
            <w:pPr>
              <w:jc w:val="center"/>
              <w:rPr>
                <w:bCs/>
                <w:color w:val="000000"/>
                <w:szCs w:val="21"/>
                <w:lang w:val="es-ES"/>
              </w:rPr>
            </w:pPr>
          </w:p>
        </w:tc>
        <w:tc>
          <w:tcPr>
            <w:tcW w:w="2163" w:type="dxa"/>
            <w:vAlign w:val="center"/>
          </w:tcPr>
          <w:p w:rsidR="00E30FEB" w:rsidRDefault="002531E5">
            <w:pPr>
              <w:pStyle w:val="Textocomentario"/>
              <w:jc w:val="center"/>
              <w:rPr>
                <w:bCs/>
                <w:color w:val="000000"/>
                <w:szCs w:val="21"/>
              </w:rPr>
            </w:pPr>
            <w:proofErr w:type="spellStart"/>
            <w:r>
              <w:rPr>
                <w:color w:val="000000"/>
                <w:szCs w:val="21"/>
              </w:rPr>
              <w:t>Edad</w:t>
            </w:r>
            <w:proofErr w:type="spellEnd"/>
          </w:p>
        </w:tc>
        <w:tc>
          <w:tcPr>
            <w:tcW w:w="6058" w:type="dxa"/>
            <w:gridSpan w:val="3"/>
            <w:vAlign w:val="center"/>
          </w:tcPr>
          <w:p w:rsidR="00E30FEB" w:rsidRDefault="002531E5">
            <w:pPr>
              <w:rPr>
                <w:color w:val="000000"/>
                <w:szCs w:val="21"/>
                <w:lang w:val="fr-FR"/>
              </w:rPr>
            </w:pPr>
            <w:r>
              <w:rPr>
                <w:color w:val="000000"/>
                <w:szCs w:val="21"/>
                <w:lang w:val="fr-FR"/>
              </w:rPr>
              <w:t>Menos de la edad legal de jubilación en el país.</w:t>
            </w:r>
          </w:p>
        </w:tc>
      </w:tr>
      <w:tr w:rsidR="00E30FEB">
        <w:trPr>
          <w:trHeight w:val="505"/>
          <w:jc w:val="center"/>
        </w:trPr>
        <w:tc>
          <w:tcPr>
            <w:tcW w:w="1535" w:type="dxa"/>
            <w:vMerge/>
            <w:vAlign w:val="center"/>
          </w:tcPr>
          <w:p w:rsidR="00E30FEB" w:rsidRDefault="00E30FEB">
            <w:pPr>
              <w:jc w:val="center"/>
              <w:rPr>
                <w:bCs/>
                <w:color w:val="000000"/>
                <w:szCs w:val="21"/>
                <w:lang w:val="fr-FR"/>
              </w:rPr>
            </w:pPr>
          </w:p>
        </w:tc>
        <w:tc>
          <w:tcPr>
            <w:tcW w:w="2163" w:type="dxa"/>
            <w:vAlign w:val="center"/>
          </w:tcPr>
          <w:p w:rsidR="00E30FEB" w:rsidRDefault="002531E5">
            <w:pPr>
              <w:jc w:val="center"/>
              <w:rPr>
                <w:bCs/>
                <w:color w:val="000000"/>
                <w:szCs w:val="21"/>
              </w:rPr>
            </w:pPr>
            <w:proofErr w:type="spellStart"/>
            <w:r>
              <w:rPr>
                <w:color w:val="000000"/>
                <w:szCs w:val="21"/>
              </w:rPr>
              <w:t>Salud</w:t>
            </w:r>
            <w:proofErr w:type="spellEnd"/>
          </w:p>
        </w:tc>
        <w:tc>
          <w:tcPr>
            <w:tcW w:w="6058" w:type="dxa"/>
            <w:gridSpan w:val="3"/>
            <w:vAlign w:val="center"/>
          </w:tcPr>
          <w:p w:rsidR="00E30FEB" w:rsidRDefault="002531E5">
            <w:pPr>
              <w:rPr>
                <w:color w:val="000000"/>
                <w:szCs w:val="21"/>
                <w:lang w:val="fr-FR"/>
              </w:rPr>
            </w:pPr>
            <w:r>
              <w:rPr>
                <w:color w:val="000000"/>
                <w:szCs w:val="21"/>
                <w:lang w:val="fr-FR"/>
              </w:rPr>
              <w:t>Capaz de participar en cursos de formación online a tiempo</w:t>
            </w:r>
          </w:p>
        </w:tc>
      </w:tr>
      <w:tr w:rsidR="00E30FEB">
        <w:trPr>
          <w:trHeight w:val="770"/>
          <w:jc w:val="center"/>
        </w:trPr>
        <w:tc>
          <w:tcPr>
            <w:tcW w:w="1535" w:type="dxa"/>
            <w:vMerge/>
            <w:vAlign w:val="center"/>
          </w:tcPr>
          <w:p w:rsidR="00E30FEB" w:rsidRDefault="00E30FEB">
            <w:pPr>
              <w:jc w:val="center"/>
              <w:rPr>
                <w:bCs/>
                <w:color w:val="000000"/>
                <w:szCs w:val="21"/>
                <w:lang w:val="fr-FR"/>
              </w:rPr>
            </w:pPr>
          </w:p>
        </w:tc>
        <w:tc>
          <w:tcPr>
            <w:tcW w:w="2163" w:type="dxa"/>
            <w:vAlign w:val="center"/>
          </w:tcPr>
          <w:p w:rsidR="00E30FEB" w:rsidRDefault="002531E5">
            <w:pPr>
              <w:jc w:val="center"/>
              <w:rPr>
                <w:bCs/>
                <w:color w:val="000000"/>
                <w:szCs w:val="21"/>
              </w:rPr>
            </w:pPr>
            <w:r>
              <w:rPr>
                <w:color w:val="000000"/>
                <w:szCs w:val="21"/>
                <w:lang w:val="es-EC"/>
              </w:rPr>
              <w:t>Habilidades lingüísticas</w:t>
            </w:r>
          </w:p>
        </w:tc>
        <w:tc>
          <w:tcPr>
            <w:tcW w:w="6058" w:type="dxa"/>
            <w:gridSpan w:val="3"/>
            <w:vAlign w:val="center"/>
          </w:tcPr>
          <w:p w:rsidR="00E30FEB" w:rsidRDefault="002531E5">
            <w:pPr>
              <w:rPr>
                <w:color w:val="000000"/>
                <w:szCs w:val="21"/>
                <w:lang w:val="fr-FR"/>
              </w:rPr>
            </w:pPr>
            <w:r>
              <w:rPr>
                <w:color w:val="000000"/>
                <w:szCs w:val="21"/>
                <w:lang w:val="fr-FR"/>
              </w:rPr>
              <w:t>Hablar y escuchar, leer y escribir en Español</w:t>
            </w:r>
          </w:p>
        </w:tc>
      </w:tr>
      <w:tr w:rsidR="00E30FEB">
        <w:trPr>
          <w:trHeight w:val="559"/>
          <w:jc w:val="center"/>
        </w:trPr>
        <w:tc>
          <w:tcPr>
            <w:tcW w:w="1535" w:type="dxa"/>
            <w:vMerge/>
            <w:vAlign w:val="center"/>
          </w:tcPr>
          <w:p w:rsidR="00E30FEB" w:rsidRDefault="00E30FEB">
            <w:pPr>
              <w:jc w:val="center"/>
              <w:rPr>
                <w:bCs/>
                <w:color w:val="000000"/>
                <w:szCs w:val="21"/>
                <w:lang w:val="fr-FR"/>
              </w:rPr>
            </w:pPr>
          </w:p>
        </w:tc>
        <w:tc>
          <w:tcPr>
            <w:tcW w:w="2163" w:type="dxa"/>
            <w:vAlign w:val="center"/>
          </w:tcPr>
          <w:p w:rsidR="00E30FEB" w:rsidRDefault="002531E5">
            <w:pPr>
              <w:jc w:val="center"/>
              <w:rPr>
                <w:bCs/>
                <w:color w:val="000000"/>
                <w:szCs w:val="21"/>
              </w:rPr>
            </w:pPr>
            <w:r>
              <w:rPr>
                <w:color w:val="000000"/>
                <w:szCs w:val="21"/>
                <w:lang w:val="es-EC"/>
              </w:rPr>
              <w:t>Otros</w:t>
            </w:r>
          </w:p>
        </w:tc>
        <w:tc>
          <w:tcPr>
            <w:tcW w:w="6058" w:type="dxa"/>
            <w:gridSpan w:val="3"/>
            <w:vAlign w:val="center"/>
          </w:tcPr>
          <w:p w:rsidR="00E30FEB" w:rsidRDefault="002531E5">
            <w:pPr>
              <w:rPr>
                <w:color w:val="000000"/>
                <w:szCs w:val="21"/>
                <w:lang w:val="fr-FR"/>
              </w:rPr>
            </w:pPr>
            <w:r>
              <w:rPr>
                <w:color w:val="000000"/>
                <w:szCs w:val="21"/>
                <w:lang w:val="fr-FR"/>
              </w:rPr>
              <w:t>Capaz de utilizar VooV Meeting para completar el proyecto</w:t>
            </w:r>
          </w:p>
        </w:tc>
      </w:tr>
      <w:tr w:rsidR="00E30FEB">
        <w:trPr>
          <w:trHeight w:val="696"/>
          <w:jc w:val="center"/>
        </w:trPr>
        <w:tc>
          <w:tcPr>
            <w:tcW w:w="1535" w:type="dxa"/>
            <w:vAlign w:val="center"/>
          </w:tcPr>
          <w:p w:rsidR="00E30FEB" w:rsidRDefault="002531E5">
            <w:pPr>
              <w:jc w:val="center"/>
              <w:rPr>
                <w:bCs/>
                <w:szCs w:val="21"/>
                <w:lang w:val="es-ES"/>
              </w:rPr>
            </w:pPr>
            <w:r>
              <w:rPr>
                <w:szCs w:val="21"/>
                <w:lang w:val="es-ES"/>
              </w:rPr>
              <w:t>Introducción de seminario</w:t>
            </w:r>
          </w:p>
        </w:tc>
        <w:tc>
          <w:tcPr>
            <w:tcW w:w="8221" w:type="dxa"/>
            <w:gridSpan w:val="4"/>
            <w:vAlign w:val="center"/>
          </w:tcPr>
          <w:p w:rsidR="00E30FEB" w:rsidRDefault="002531E5">
            <w:pPr>
              <w:pStyle w:val="Textocomentario"/>
              <w:jc w:val="both"/>
              <w:rPr>
                <w:bCs/>
                <w:szCs w:val="21"/>
                <w:lang w:val="fr-FR"/>
              </w:rPr>
            </w:pPr>
            <w:r>
              <w:rPr>
                <w:bCs/>
                <w:szCs w:val="21"/>
                <w:lang w:val="fr-FR"/>
              </w:rPr>
              <w:t xml:space="preserve">1. Cursos principales de </w:t>
            </w:r>
            <w:r>
              <w:rPr>
                <w:bCs/>
                <w:szCs w:val="21"/>
                <w:lang w:val="fr-FR"/>
              </w:rPr>
              <w:t>formación</w:t>
            </w:r>
          </w:p>
          <w:p w:rsidR="00E30FEB" w:rsidRDefault="002531E5">
            <w:pPr>
              <w:pStyle w:val="Textocomentario"/>
              <w:ind w:firstLineChars="100" w:firstLine="210"/>
              <w:jc w:val="both"/>
              <w:rPr>
                <w:bCs/>
                <w:szCs w:val="21"/>
                <w:lang w:val="fr-FR"/>
              </w:rPr>
            </w:pPr>
            <w:r>
              <w:rPr>
                <w:bCs/>
                <w:szCs w:val="21"/>
                <w:lang w:val="fr-FR"/>
              </w:rPr>
              <w:t>(1) Generalidades de China</w:t>
            </w:r>
          </w:p>
          <w:p w:rsidR="00E30FEB" w:rsidRDefault="002531E5">
            <w:pPr>
              <w:pStyle w:val="Textocomentario"/>
              <w:ind w:firstLineChars="100" w:firstLine="210"/>
              <w:jc w:val="both"/>
              <w:rPr>
                <w:bCs/>
                <w:szCs w:val="21"/>
                <w:lang w:val="fr-FR"/>
              </w:rPr>
            </w:pPr>
            <w:r>
              <w:rPr>
                <w:bCs/>
                <w:szCs w:val="21"/>
                <w:lang w:val="fr-FR"/>
              </w:rPr>
              <w:t>(2) Experiencias básicas de la reforma, apertura y desarrollo económico de China</w:t>
            </w:r>
          </w:p>
          <w:p w:rsidR="00E30FEB" w:rsidRDefault="002531E5">
            <w:pPr>
              <w:pStyle w:val="Textocomentario"/>
              <w:ind w:firstLineChars="100" w:firstLine="210"/>
              <w:jc w:val="both"/>
              <w:rPr>
                <w:bCs/>
                <w:szCs w:val="21"/>
                <w:lang w:val="fr-FR"/>
              </w:rPr>
            </w:pPr>
            <w:r>
              <w:rPr>
                <w:rStyle w:val="jlqj4b"/>
                <w:lang w:val="es-ES"/>
              </w:rPr>
              <w:lastRenderedPageBreak/>
              <w:t xml:space="preserve">(3) </w:t>
            </w:r>
            <w:r>
              <w:rPr>
                <w:bCs/>
                <w:szCs w:val="21"/>
                <w:lang w:val="fr-FR"/>
              </w:rPr>
              <w:t>La concepción de gobernación y administración de la dirección china</w:t>
            </w:r>
          </w:p>
          <w:p w:rsidR="00E30FEB" w:rsidRDefault="002531E5">
            <w:pPr>
              <w:pStyle w:val="Textocomentario"/>
              <w:ind w:firstLineChars="100" w:firstLine="210"/>
              <w:jc w:val="both"/>
              <w:rPr>
                <w:rStyle w:val="jlqj4b"/>
                <w:lang w:val="es-ES"/>
              </w:rPr>
            </w:pPr>
            <w:r>
              <w:rPr>
                <w:rStyle w:val="jlqj4b"/>
                <w:lang w:val="es-ES"/>
              </w:rPr>
              <w:t>(4) Las iniciativas chinas de "la Franja y la Ruta" y su implement</w:t>
            </w:r>
            <w:r>
              <w:rPr>
                <w:rStyle w:val="jlqj4b"/>
                <w:lang w:val="es-ES"/>
              </w:rPr>
              <w:t>ación</w:t>
            </w:r>
          </w:p>
          <w:p w:rsidR="00E30FEB" w:rsidRDefault="002531E5">
            <w:pPr>
              <w:pStyle w:val="Textocomentario"/>
              <w:ind w:firstLineChars="100" w:firstLine="210"/>
              <w:jc w:val="both"/>
              <w:rPr>
                <w:rStyle w:val="jlqj4b"/>
                <w:lang w:val="es-ES"/>
              </w:rPr>
            </w:pPr>
            <w:r>
              <w:rPr>
                <w:rStyle w:val="jlqj4b"/>
                <w:lang w:val="es-ES"/>
              </w:rPr>
              <w:t>(5) Políticas de ayuda exterior de China</w:t>
            </w:r>
          </w:p>
          <w:p w:rsidR="00E30FEB" w:rsidRDefault="002531E5">
            <w:pPr>
              <w:pStyle w:val="Textocomentario"/>
              <w:ind w:firstLineChars="100" w:firstLine="210"/>
              <w:rPr>
                <w:rStyle w:val="jlqj4b"/>
                <w:lang w:val="es-ES"/>
              </w:rPr>
            </w:pPr>
            <w:r>
              <w:rPr>
                <w:rStyle w:val="jlqj4b"/>
                <w:lang w:val="es-ES"/>
              </w:rPr>
              <w:t>(6) Prácticas de construcción de parques industriales de China en el extranjero</w:t>
            </w:r>
          </w:p>
          <w:p w:rsidR="00E30FEB" w:rsidRDefault="002531E5">
            <w:pPr>
              <w:pStyle w:val="Textocomentario"/>
              <w:ind w:firstLineChars="100" w:firstLine="210"/>
              <w:jc w:val="both"/>
              <w:rPr>
                <w:rStyle w:val="jlqj4b"/>
                <w:lang w:val="es-ES"/>
              </w:rPr>
            </w:pPr>
            <w:r>
              <w:rPr>
                <w:rStyle w:val="jlqj4b"/>
                <w:lang w:val="es-ES"/>
              </w:rPr>
              <w:t>(7) Medidas de</w:t>
            </w:r>
            <w:r>
              <w:rPr>
                <w:lang w:val="es-ES"/>
              </w:rPr>
              <w:t xml:space="preserve"> </w:t>
            </w:r>
            <w:r>
              <w:rPr>
                <w:rStyle w:val="jlqj4b"/>
                <w:lang w:val="es-ES"/>
              </w:rPr>
              <w:t>facilitación de comercio</w:t>
            </w:r>
            <w:r>
              <w:rPr>
                <w:lang w:val="fr-FR"/>
              </w:rPr>
              <w:t xml:space="preserve"> </w:t>
            </w:r>
            <w:r>
              <w:rPr>
                <w:rStyle w:val="jlqj4b"/>
                <w:lang w:val="es-ES"/>
              </w:rPr>
              <w:t>de las Aduanas de China</w:t>
            </w:r>
          </w:p>
          <w:p w:rsidR="00E30FEB" w:rsidRDefault="002531E5">
            <w:pPr>
              <w:pStyle w:val="Textocomentario"/>
              <w:ind w:firstLineChars="100" w:firstLine="210"/>
              <w:jc w:val="both"/>
              <w:rPr>
                <w:rStyle w:val="jlqj4b"/>
                <w:lang w:val="es-ES"/>
              </w:rPr>
            </w:pPr>
            <w:r>
              <w:rPr>
                <w:rStyle w:val="jlqj4b"/>
                <w:lang w:val="es-ES"/>
              </w:rPr>
              <w:t>(8) Políticas y desarrollo comercial de comercio electrónico tran</w:t>
            </w:r>
            <w:r>
              <w:rPr>
                <w:rStyle w:val="jlqj4b"/>
                <w:lang w:val="es-ES"/>
              </w:rPr>
              <w:t>sfronterizo de China</w:t>
            </w:r>
          </w:p>
          <w:p w:rsidR="00E30FEB" w:rsidRDefault="002531E5">
            <w:pPr>
              <w:pStyle w:val="Textocomentario"/>
              <w:ind w:firstLineChars="100" w:firstLine="210"/>
              <w:jc w:val="both"/>
              <w:rPr>
                <w:lang w:val="es-ES"/>
              </w:rPr>
            </w:pPr>
            <w:r>
              <w:rPr>
                <w:lang w:val="es-ES"/>
              </w:rPr>
              <w:t>(9) Facilitación del comercio y las inversiones en el sistema multilateral de comercio</w:t>
            </w:r>
          </w:p>
          <w:p w:rsidR="00E30FEB" w:rsidRDefault="002531E5">
            <w:pPr>
              <w:pStyle w:val="Textocomentario"/>
              <w:tabs>
                <w:tab w:val="left" w:pos="312"/>
              </w:tabs>
              <w:jc w:val="both"/>
              <w:rPr>
                <w:bCs/>
                <w:szCs w:val="21"/>
                <w:lang w:val="fr-FR"/>
              </w:rPr>
            </w:pPr>
            <w:r>
              <w:rPr>
                <w:bCs/>
                <w:szCs w:val="21"/>
                <w:lang w:val="fr-FR"/>
              </w:rPr>
              <w:t>2. Materiales que se prepararán los participantes</w:t>
            </w:r>
          </w:p>
          <w:p w:rsidR="00E30FEB" w:rsidRDefault="002531E5">
            <w:pPr>
              <w:pStyle w:val="Textocomentario"/>
              <w:ind w:firstLineChars="200" w:firstLine="420"/>
              <w:jc w:val="both"/>
              <w:rPr>
                <w:kern w:val="0"/>
                <w:szCs w:val="21"/>
                <w:lang w:val="fr-FR"/>
              </w:rPr>
            </w:pPr>
            <w:r>
              <w:rPr>
                <w:rStyle w:val="jlqj4b"/>
                <w:lang w:val="es-ES"/>
              </w:rPr>
              <w:t>Para facilitar los intercambios con expertos chinos, prepare los materiales de intercambio de su p</w:t>
            </w:r>
            <w:r>
              <w:rPr>
                <w:rStyle w:val="jlqj4b"/>
                <w:lang w:val="es-ES"/>
              </w:rPr>
              <w:t>aís relacionados con los temas del seminario, como los planes y políticas de desarrollo en el campo de la inversión extranjera y el comercio exterior su país, y la cooperación bilateral con China, etc.</w:t>
            </w:r>
          </w:p>
        </w:tc>
      </w:tr>
      <w:tr w:rsidR="00E30FEB">
        <w:trPr>
          <w:trHeight w:val="554"/>
          <w:jc w:val="center"/>
        </w:trPr>
        <w:tc>
          <w:tcPr>
            <w:tcW w:w="1535" w:type="dxa"/>
            <w:vAlign w:val="center"/>
          </w:tcPr>
          <w:p w:rsidR="00E30FEB" w:rsidRDefault="002531E5">
            <w:pPr>
              <w:jc w:val="center"/>
              <w:rPr>
                <w:bCs/>
                <w:color w:val="000000"/>
                <w:szCs w:val="21"/>
              </w:rPr>
            </w:pPr>
            <w:proofErr w:type="spellStart"/>
            <w:r>
              <w:rPr>
                <w:color w:val="000000"/>
                <w:szCs w:val="21"/>
              </w:rPr>
              <w:lastRenderedPageBreak/>
              <w:t>Notas</w:t>
            </w:r>
            <w:proofErr w:type="spellEnd"/>
          </w:p>
        </w:tc>
        <w:tc>
          <w:tcPr>
            <w:tcW w:w="8221" w:type="dxa"/>
            <w:gridSpan w:val="4"/>
            <w:vAlign w:val="center"/>
          </w:tcPr>
          <w:p w:rsidR="00E30FEB" w:rsidRDefault="002531E5">
            <w:pPr>
              <w:tabs>
                <w:tab w:val="left" w:pos="312"/>
              </w:tabs>
              <w:rPr>
                <w:bCs/>
                <w:color w:val="000000"/>
                <w:szCs w:val="21"/>
                <w:lang w:val="fr-FR"/>
              </w:rPr>
            </w:pPr>
            <w:r>
              <w:rPr>
                <w:bCs/>
                <w:color w:val="000000"/>
                <w:szCs w:val="21"/>
                <w:lang w:val="fr-FR"/>
              </w:rPr>
              <w:t xml:space="preserve">Esta formación se realizará online a través de </w:t>
            </w:r>
            <w:r>
              <w:rPr>
                <w:bCs/>
                <w:color w:val="000000"/>
                <w:szCs w:val="21"/>
                <w:lang w:val="fr-FR"/>
              </w:rPr>
              <w:t>la plataforma VooV Meeting.</w:t>
            </w:r>
          </w:p>
          <w:p w:rsidR="00E30FEB" w:rsidRDefault="002531E5">
            <w:pPr>
              <w:tabs>
                <w:tab w:val="left" w:pos="312"/>
              </w:tabs>
              <w:rPr>
                <w:bCs/>
                <w:color w:val="000000"/>
                <w:szCs w:val="21"/>
                <w:lang w:val="fr-FR"/>
              </w:rPr>
            </w:pPr>
            <w:r>
              <w:rPr>
                <w:bCs/>
                <w:color w:val="000000"/>
                <w:szCs w:val="21"/>
                <w:lang w:val="fr-FR"/>
              </w:rPr>
              <w:t>1. Durante la capacitación, siga el horario de clases y la disciplina. Los certificados de formación se otorgarán sobre la base de los registros de asistencia.</w:t>
            </w:r>
          </w:p>
          <w:p w:rsidR="00E30FEB" w:rsidRDefault="002531E5">
            <w:pPr>
              <w:tabs>
                <w:tab w:val="left" w:pos="312"/>
              </w:tabs>
              <w:rPr>
                <w:bCs/>
                <w:color w:val="000000"/>
                <w:szCs w:val="21"/>
                <w:lang w:val="fr-FR"/>
              </w:rPr>
            </w:pPr>
            <w:r>
              <w:rPr>
                <w:bCs/>
                <w:color w:val="000000"/>
                <w:szCs w:val="21"/>
                <w:lang w:val="fr-FR"/>
              </w:rPr>
              <w:t xml:space="preserve">2. Preparación antes de la sesión: ingrese a la reunión VooV con 15 </w:t>
            </w:r>
            <w:r>
              <w:rPr>
                <w:bCs/>
                <w:color w:val="000000"/>
                <w:szCs w:val="21"/>
                <w:lang w:val="fr-FR"/>
              </w:rPr>
              <w:t xml:space="preserve">minutos de anticipación y cambie el nombre a </w:t>
            </w:r>
            <w:r>
              <w:rPr>
                <w:bCs/>
                <w:i/>
                <w:color w:val="000000"/>
                <w:szCs w:val="21"/>
                <w:lang w:val="fr-FR"/>
              </w:rPr>
              <w:t>Nombre y Apellidos - País,</w:t>
            </w:r>
            <w:r>
              <w:rPr>
                <w:bCs/>
                <w:color w:val="000000"/>
                <w:szCs w:val="21"/>
                <w:lang w:val="fr-FR"/>
              </w:rPr>
              <w:t xml:space="preserve"> como Ana Diaz-España.</w:t>
            </w:r>
          </w:p>
          <w:p w:rsidR="00E30FEB" w:rsidRDefault="002531E5">
            <w:pPr>
              <w:tabs>
                <w:tab w:val="left" w:pos="312"/>
              </w:tabs>
              <w:rPr>
                <w:bCs/>
                <w:color w:val="000000"/>
                <w:szCs w:val="21"/>
                <w:lang w:val="fr-FR"/>
              </w:rPr>
            </w:pPr>
            <w:r>
              <w:rPr>
                <w:bCs/>
                <w:color w:val="000000"/>
                <w:szCs w:val="21"/>
                <w:lang w:val="fr-FR"/>
              </w:rPr>
              <w:t>3. Requisito disciplinario: durante la implementación del proyecto, siga estrictamente la agenda del proyecto.</w:t>
            </w:r>
          </w:p>
          <w:p w:rsidR="00E30FEB" w:rsidRDefault="002531E5">
            <w:pPr>
              <w:tabs>
                <w:tab w:val="left" w:pos="312"/>
              </w:tabs>
              <w:rPr>
                <w:bCs/>
                <w:color w:val="000000"/>
                <w:szCs w:val="21"/>
                <w:lang w:val="fr-FR"/>
              </w:rPr>
            </w:pPr>
            <w:r>
              <w:rPr>
                <w:bCs/>
                <w:color w:val="000000"/>
                <w:szCs w:val="21"/>
                <w:lang w:val="fr-FR"/>
              </w:rPr>
              <w:t>4. Los participantes deben preparar materiales de d</w:t>
            </w:r>
            <w:r>
              <w:rPr>
                <w:bCs/>
                <w:color w:val="000000"/>
                <w:szCs w:val="21"/>
                <w:lang w:val="fr-FR"/>
              </w:rPr>
              <w:t>iscusión relevantes para el tema de acuerdo con el cronograma y enviar materiales relevantes según sea necesario.</w:t>
            </w:r>
          </w:p>
          <w:p w:rsidR="00E30FEB" w:rsidRDefault="002531E5">
            <w:pPr>
              <w:rPr>
                <w:bCs/>
                <w:color w:val="000000"/>
                <w:szCs w:val="21"/>
                <w:lang w:val="fr-FR"/>
              </w:rPr>
            </w:pPr>
            <w:r>
              <w:rPr>
                <w:bCs/>
                <w:color w:val="000000"/>
                <w:szCs w:val="21"/>
                <w:lang w:val="fr-FR"/>
              </w:rPr>
              <w:t xml:space="preserve">5. Se proporciona interpretación simultánea / consecutiva en </w:t>
            </w:r>
            <w:r>
              <w:rPr>
                <w:rStyle w:val="jlqj4b"/>
                <w:lang w:val="es-ES"/>
              </w:rPr>
              <w:t>Español</w:t>
            </w:r>
            <w:r>
              <w:rPr>
                <w:lang w:val="fr-FR"/>
              </w:rPr>
              <w:t xml:space="preserve"> </w:t>
            </w:r>
            <w:r>
              <w:rPr>
                <w:bCs/>
                <w:color w:val="000000"/>
                <w:szCs w:val="21"/>
                <w:lang w:val="fr-FR"/>
              </w:rPr>
              <w:t>en línea.</w:t>
            </w:r>
          </w:p>
        </w:tc>
      </w:tr>
      <w:tr w:rsidR="00E30FEB">
        <w:trPr>
          <w:trHeight w:val="558"/>
          <w:jc w:val="center"/>
        </w:trPr>
        <w:tc>
          <w:tcPr>
            <w:tcW w:w="1535" w:type="dxa"/>
            <w:vAlign w:val="center"/>
          </w:tcPr>
          <w:p w:rsidR="00E30FEB" w:rsidRDefault="002531E5">
            <w:pPr>
              <w:jc w:val="center"/>
              <w:rPr>
                <w:bCs/>
                <w:color w:val="000000"/>
                <w:szCs w:val="21"/>
              </w:rPr>
            </w:pPr>
            <w:proofErr w:type="spellStart"/>
            <w:r>
              <w:rPr>
                <w:bCs/>
                <w:color w:val="000000"/>
                <w:szCs w:val="21"/>
              </w:rPr>
              <w:t>Cerca</w:t>
            </w:r>
            <w:proofErr w:type="spellEnd"/>
            <w:r>
              <w:rPr>
                <w:bCs/>
                <w:color w:val="000000"/>
                <w:szCs w:val="21"/>
              </w:rPr>
              <w:t xml:space="preserve"> del</w:t>
            </w:r>
            <w:r>
              <w:rPr>
                <w:szCs w:val="21"/>
              </w:rPr>
              <w:t xml:space="preserve"> </w:t>
            </w:r>
            <w:proofErr w:type="spellStart"/>
            <w:r>
              <w:rPr>
                <w:szCs w:val="21"/>
              </w:rPr>
              <w:t>Organizador</w:t>
            </w:r>
            <w:proofErr w:type="spellEnd"/>
          </w:p>
        </w:tc>
        <w:tc>
          <w:tcPr>
            <w:tcW w:w="8221" w:type="dxa"/>
            <w:gridSpan w:val="4"/>
            <w:vAlign w:val="center"/>
          </w:tcPr>
          <w:p w:rsidR="00E30FEB" w:rsidRDefault="002531E5">
            <w:pPr>
              <w:pStyle w:val="Sangradetextonormal"/>
              <w:spacing w:line="276" w:lineRule="auto"/>
              <w:ind w:firstLine="422"/>
              <w:rPr>
                <w:b/>
                <w:i/>
                <w:sz w:val="21"/>
                <w:szCs w:val="21"/>
                <w:lang w:val="fr-FR"/>
              </w:rPr>
            </w:pPr>
            <w:r>
              <w:rPr>
                <w:b/>
                <w:i/>
                <w:sz w:val="21"/>
                <w:szCs w:val="21"/>
                <w:lang w:val="fr-FR"/>
              </w:rPr>
              <w:t xml:space="preserve">Academia para Funcionarios Internacionales de Negocios, MOFCOM </w:t>
            </w:r>
            <w:r>
              <w:rPr>
                <w:sz w:val="21"/>
                <w:szCs w:val="21"/>
                <w:lang w:val="fr-FR"/>
              </w:rPr>
              <w:t>es la única entidad educativa directamente subordinada al Ministerio de Comercio de la República Popular China,con 40 años de historia que se ubica en la ribera del río Wenyu del distrito de Ch</w:t>
            </w:r>
            <w:r>
              <w:rPr>
                <w:sz w:val="21"/>
                <w:szCs w:val="21"/>
                <w:lang w:val="fr-FR"/>
              </w:rPr>
              <w:t>angping de Beijing. Cubre de casi 600 acres de área del piso,con más de 100,000 metros cuadrados de área de construcción.El ambiente es hermoso, el aire es fresco, las instalaciones están completas y el transporte es conveniente. Se ha convertido en una im</w:t>
            </w:r>
            <w:r>
              <w:rPr>
                <w:sz w:val="21"/>
                <w:szCs w:val="21"/>
                <w:lang w:val="fr-FR"/>
              </w:rPr>
              <w:t>portante base de capacitación para talentos empresariales nacionales y funcionarios de negocios internacionales.</w:t>
            </w:r>
          </w:p>
          <w:p w:rsidR="00E30FEB" w:rsidRDefault="002531E5">
            <w:pPr>
              <w:pStyle w:val="Sangradetextonormal"/>
              <w:spacing w:line="276" w:lineRule="auto"/>
              <w:ind w:firstLine="420"/>
              <w:rPr>
                <w:sz w:val="21"/>
                <w:szCs w:val="21"/>
                <w:lang w:val="fr-FR"/>
              </w:rPr>
            </w:pPr>
            <w:r>
              <w:rPr>
                <w:sz w:val="21"/>
                <w:szCs w:val="21"/>
                <w:lang w:val="fr-FR"/>
              </w:rPr>
              <w:t>Con el paisaje pintoresco, el aire fresco, las instalaciones completas y las buenas condiciones de comunicación, se ha convertido en una import</w:t>
            </w:r>
            <w:r>
              <w:rPr>
                <w:sz w:val="21"/>
                <w:szCs w:val="21"/>
                <w:lang w:val="fr-FR"/>
              </w:rPr>
              <w:t>ante base de capacitación de los élites de comercio y los funcionarios internacionales.</w:t>
            </w:r>
          </w:p>
          <w:p w:rsidR="00E30FEB" w:rsidRDefault="002531E5">
            <w:pPr>
              <w:pStyle w:val="Sangradetextonormal"/>
              <w:spacing w:line="276" w:lineRule="auto"/>
              <w:ind w:firstLine="420"/>
              <w:rPr>
                <w:sz w:val="21"/>
                <w:szCs w:val="21"/>
                <w:lang w:val="fr-FR"/>
              </w:rPr>
            </w:pPr>
            <w:r>
              <w:rPr>
                <w:sz w:val="21"/>
                <w:szCs w:val="21"/>
                <w:lang w:val="fr-FR"/>
              </w:rPr>
              <w:lastRenderedPageBreak/>
              <w:t>La academia proporciona la capacitación, la docencia, el servicio para conferencias y también para vacaciones. Actualmente, cuenta con sala de diferentes dimensiones co</w:t>
            </w:r>
            <w:r>
              <w:rPr>
                <w:sz w:val="21"/>
                <w:szCs w:val="21"/>
                <w:lang w:val="fr-FR"/>
              </w:rPr>
              <w:t>mo la sala de conferencias, la sala de seminarios y la sala de recepción. El hotel de la academia dispone de todo tipo de facilidades necesarias.A partir de 1998, la academia comenzó a ejercer las tareas de capacitación y tomó la iniciativa en la capacitac</w:t>
            </w:r>
            <w:r>
              <w:rPr>
                <w:sz w:val="21"/>
                <w:szCs w:val="21"/>
                <w:lang w:val="fr-FR"/>
              </w:rPr>
              <w:t xml:space="preserve">ión de los funcionarios en comercio proveniente de otros países en desarrollo. El tema involucrado es bastante amplio, incluido administración de economía, inversión en negocios, planificación y administración urbana, telecomunicación, operación portuaria </w:t>
            </w:r>
            <w:r>
              <w:rPr>
                <w:sz w:val="21"/>
                <w:szCs w:val="21"/>
                <w:lang w:val="fr-FR"/>
              </w:rPr>
              <w:t>y administración de navegación, trasnporte, construcción de zonas de desarrollo, gestión de logística, exploración de recursos naturales, colaboración en labor internacional, desarrollo coordinado entre la zona urbana y la rural, comunicación inalámbrica y</w:t>
            </w:r>
            <w:r>
              <w:rPr>
                <w:sz w:val="21"/>
                <w:szCs w:val="21"/>
                <w:lang w:val="fr-FR"/>
              </w:rPr>
              <w:t xml:space="preserve"> tecnología de televisión digital, energía limpia, etc. Aparte de seminario de directores, también se celebra el seminario de ministerios.</w:t>
            </w:r>
          </w:p>
          <w:p w:rsidR="00E30FEB" w:rsidRDefault="002531E5">
            <w:pPr>
              <w:pStyle w:val="Sangradetextonormal"/>
              <w:spacing w:line="276" w:lineRule="auto"/>
              <w:ind w:firstLine="420"/>
              <w:rPr>
                <w:sz w:val="21"/>
                <w:szCs w:val="21"/>
                <w:lang w:val="fr-FR"/>
              </w:rPr>
            </w:pPr>
            <w:r>
              <w:rPr>
                <w:sz w:val="21"/>
                <w:szCs w:val="21"/>
                <w:lang w:val="fr-FR"/>
              </w:rPr>
              <w:t>A fines de 2020, se ha organizado 1768 seminarios / talleres, entre ellos hay 117 talleres ministeriales, se han reci</w:t>
            </w:r>
            <w:r>
              <w:rPr>
                <w:sz w:val="21"/>
                <w:szCs w:val="21"/>
                <w:lang w:val="fr-FR"/>
              </w:rPr>
              <w:t>bido 49927 funcionarios, incluidos 1053 funcionarios ministeriales y 5 vicepresidente que proviene de 160 países y regiones del mundo.</w:t>
            </w:r>
          </w:p>
          <w:p w:rsidR="00E30FEB" w:rsidRDefault="002531E5">
            <w:pPr>
              <w:spacing w:line="340" w:lineRule="exact"/>
              <w:ind w:firstLineChars="200" w:firstLine="420"/>
              <w:rPr>
                <w:szCs w:val="21"/>
                <w:lang w:val="fr-FR"/>
              </w:rPr>
            </w:pPr>
            <w:r>
              <w:rPr>
                <w:kern w:val="10"/>
                <w:szCs w:val="21"/>
                <w:lang w:val="fr-FR"/>
              </w:rPr>
              <w:t>La academia se esforzará por hacer nuevas contribuciones al desarrollo del comercio de China y se convertirá en una conoc</w:t>
            </w:r>
            <w:r>
              <w:rPr>
                <w:kern w:val="10"/>
                <w:szCs w:val="21"/>
                <w:lang w:val="fr-FR"/>
              </w:rPr>
              <w:t>ida académica educativa de formación, tanto en el país como en el extranjero.</w:t>
            </w:r>
          </w:p>
        </w:tc>
      </w:tr>
      <w:tr w:rsidR="00E30FEB">
        <w:trPr>
          <w:trHeight w:val="1618"/>
          <w:jc w:val="center"/>
        </w:trPr>
        <w:tc>
          <w:tcPr>
            <w:tcW w:w="1535" w:type="dxa"/>
            <w:vAlign w:val="center"/>
          </w:tcPr>
          <w:p w:rsidR="00E30FEB" w:rsidRDefault="002531E5">
            <w:pPr>
              <w:jc w:val="center"/>
              <w:rPr>
                <w:bCs/>
                <w:color w:val="000000"/>
                <w:szCs w:val="21"/>
              </w:rPr>
            </w:pPr>
            <w:proofErr w:type="spellStart"/>
            <w:r>
              <w:rPr>
                <w:szCs w:val="21"/>
              </w:rPr>
              <w:lastRenderedPageBreak/>
              <w:t>Contacto</w:t>
            </w:r>
            <w:proofErr w:type="spellEnd"/>
            <w:r>
              <w:rPr>
                <w:szCs w:val="21"/>
              </w:rPr>
              <w:t xml:space="preserve"> del </w:t>
            </w:r>
            <w:proofErr w:type="spellStart"/>
            <w:r>
              <w:rPr>
                <w:szCs w:val="21"/>
              </w:rPr>
              <w:t>Organizador</w:t>
            </w:r>
            <w:proofErr w:type="spellEnd"/>
          </w:p>
        </w:tc>
        <w:tc>
          <w:tcPr>
            <w:tcW w:w="8221" w:type="dxa"/>
            <w:gridSpan w:val="4"/>
            <w:vAlign w:val="center"/>
          </w:tcPr>
          <w:p w:rsidR="00E30FEB" w:rsidRDefault="002531E5">
            <w:pPr>
              <w:pStyle w:val="Textocomentario"/>
              <w:jc w:val="both"/>
              <w:rPr>
                <w:bCs/>
                <w:color w:val="000000"/>
                <w:szCs w:val="21"/>
                <w:lang w:val="es-ES"/>
              </w:rPr>
            </w:pPr>
            <w:r>
              <w:rPr>
                <w:color w:val="000000"/>
                <w:szCs w:val="21"/>
                <w:lang w:val="es-ES"/>
              </w:rPr>
              <w:t>Contacto</w:t>
            </w:r>
            <w:r>
              <w:rPr>
                <w:bCs/>
                <w:color w:val="000000"/>
                <w:szCs w:val="21"/>
                <w:lang w:val="es-ES"/>
              </w:rPr>
              <w:t xml:space="preserve">: </w:t>
            </w:r>
            <w:r>
              <w:rPr>
                <w:rFonts w:eastAsia="FangSong_GB2312"/>
                <w:szCs w:val="21"/>
                <w:lang w:val="es-ES"/>
              </w:rPr>
              <w:t xml:space="preserve">Sr. </w:t>
            </w:r>
            <w:r>
              <w:rPr>
                <w:lang w:val="es-ES"/>
              </w:rPr>
              <w:t xml:space="preserve">FENG </w:t>
            </w:r>
            <w:proofErr w:type="spellStart"/>
            <w:r>
              <w:rPr>
                <w:lang w:val="es-ES"/>
              </w:rPr>
              <w:t>Xiao</w:t>
            </w:r>
            <w:proofErr w:type="spellEnd"/>
            <w:r>
              <w:rPr>
                <w:color w:val="000000"/>
                <w:szCs w:val="21"/>
                <w:lang w:val="es-ES"/>
              </w:rPr>
              <w:t xml:space="preserve"> (asesor de admisiones)</w:t>
            </w:r>
          </w:p>
          <w:p w:rsidR="00E30FEB" w:rsidRDefault="002531E5">
            <w:pPr>
              <w:rPr>
                <w:bCs/>
                <w:color w:val="000000"/>
                <w:szCs w:val="21"/>
                <w:lang w:val="fr-FR"/>
              </w:rPr>
            </w:pPr>
            <w:r>
              <w:rPr>
                <w:color w:val="000000"/>
                <w:szCs w:val="21"/>
                <w:lang w:val="es-ES"/>
              </w:rPr>
              <w:t>Teléfono</w:t>
            </w:r>
            <w:r>
              <w:rPr>
                <w:bCs/>
                <w:color w:val="000000"/>
                <w:szCs w:val="21"/>
                <w:lang w:val="fr-FR"/>
              </w:rPr>
              <w:t xml:space="preserve">.: </w:t>
            </w:r>
            <w:r>
              <w:rPr>
                <w:color w:val="000000"/>
                <w:szCs w:val="21"/>
                <w:lang w:val="fr-FR"/>
              </w:rPr>
              <w:t>0086</w:t>
            </w:r>
            <w:r>
              <w:rPr>
                <w:szCs w:val="21"/>
                <w:lang w:val="fr-FR"/>
              </w:rPr>
              <w:t>-10-69759898-6840</w:t>
            </w:r>
          </w:p>
          <w:p w:rsidR="00E30FEB" w:rsidRDefault="002531E5">
            <w:pPr>
              <w:rPr>
                <w:bCs/>
                <w:color w:val="000000"/>
                <w:szCs w:val="21"/>
                <w:lang w:val="es-ES"/>
              </w:rPr>
            </w:pPr>
            <w:r>
              <w:rPr>
                <w:color w:val="000000"/>
                <w:szCs w:val="21"/>
                <w:lang w:val="es-ES"/>
              </w:rPr>
              <w:t>Celular</w:t>
            </w:r>
            <w:r>
              <w:rPr>
                <w:bCs/>
                <w:color w:val="000000"/>
                <w:szCs w:val="21"/>
                <w:lang w:val="es-ES"/>
              </w:rPr>
              <w:t xml:space="preserve">: </w:t>
            </w:r>
            <w:r>
              <w:rPr>
                <w:szCs w:val="21"/>
                <w:lang w:val="es-ES"/>
              </w:rPr>
              <w:t>0086-13466620106</w:t>
            </w:r>
          </w:p>
          <w:p w:rsidR="00E30FEB" w:rsidRDefault="002531E5">
            <w:pPr>
              <w:rPr>
                <w:bCs/>
                <w:color w:val="000000"/>
                <w:szCs w:val="21"/>
                <w:lang w:val="es-ES"/>
              </w:rPr>
            </w:pPr>
            <w:r>
              <w:rPr>
                <w:bCs/>
                <w:color w:val="000000"/>
                <w:szCs w:val="21"/>
                <w:lang w:val="es-ES"/>
              </w:rPr>
              <w:t xml:space="preserve">Email: </w:t>
            </w:r>
            <w:r>
              <w:rPr>
                <w:szCs w:val="21"/>
                <w:lang w:val="es-ES"/>
              </w:rPr>
              <w:t>xtbzs@china-aibo.cn</w:t>
            </w:r>
          </w:p>
        </w:tc>
      </w:tr>
    </w:tbl>
    <w:p w:rsidR="00E30FEB" w:rsidRDefault="00E30FEB">
      <w:pPr>
        <w:spacing w:before="100" w:beforeAutospacing="1" w:after="100" w:afterAutospacing="1" w:line="420" w:lineRule="exact"/>
        <w:rPr>
          <w:b/>
          <w:bCs/>
          <w:color w:val="FF0000"/>
          <w:szCs w:val="21"/>
          <w:lang w:val="es-ES"/>
        </w:rPr>
      </w:pPr>
    </w:p>
    <w:p w:rsidR="00E30FEB" w:rsidRDefault="00E30FEB">
      <w:pPr>
        <w:spacing w:before="100" w:beforeAutospacing="1" w:after="100" w:afterAutospacing="1" w:line="420" w:lineRule="exact"/>
        <w:rPr>
          <w:b/>
          <w:bCs/>
          <w:color w:val="FF0000"/>
          <w:szCs w:val="21"/>
          <w:lang w:val="es-ES"/>
        </w:rPr>
      </w:pPr>
    </w:p>
    <w:p w:rsidR="00E30FEB" w:rsidRDefault="00E30FEB">
      <w:pPr>
        <w:rPr>
          <w:lang w:val="es-ES"/>
        </w:rPr>
      </w:pPr>
    </w:p>
    <w:p w:rsidR="00E30FEB" w:rsidRDefault="00E30FEB">
      <w:pPr>
        <w:rPr>
          <w:lang w:val="es-ES"/>
        </w:rPr>
      </w:pPr>
    </w:p>
    <w:p w:rsidR="00E30FEB" w:rsidRDefault="00E30FEB">
      <w:pPr>
        <w:rPr>
          <w:lang w:val="es-ES"/>
        </w:rPr>
      </w:pPr>
    </w:p>
    <w:sectPr w:rsidR="00E30F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auto"/>
    <w:pitch w:val="default"/>
    <w:sig w:usb0="00000000" w:usb1="38CF7CFA" w:usb2="00000016" w:usb3="00000000" w:csb0="00040001" w:csb1="00000000"/>
  </w:font>
  <w:font w:name="FangSong_GB2312">
    <w:altName w:val="Microsoft YaHei"/>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2432"/>
    <w:multiLevelType w:val="singleLevel"/>
    <w:tmpl w:val="0B512432"/>
    <w:lvl w:ilvl="0">
      <w:start w:val="1"/>
      <w:numFmt w:val="decimal"/>
      <w:pStyle w:val="1"/>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C0"/>
    <w:rsid w:val="00003E2B"/>
    <w:rsid w:val="000040FB"/>
    <w:rsid w:val="00053485"/>
    <w:rsid w:val="00091690"/>
    <w:rsid w:val="00091EBB"/>
    <w:rsid w:val="00093184"/>
    <w:rsid w:val="00093D8B"/>
    <w:rsid w:val="00094397"/>
    <w:rsid w:val="000E0134"/>
    <w:rsid w:val="00112F69"/>
    <w:rsid w:val="001155F2"/>
    <w:rsid w:val="001362EF"/>
    <w:rsid w:val="001376BF"/>
    <w:rsid w:val="00171990"/>
    <w:rsid w:val="00177CAB"/>
    <w:rsid w:val="00180607"/>
    <w:rsid w:val="001B2C42"/>
    <w:rsid w:val="001C30A9"/>
    <w:rsid w:val="001D025F"/>
    <w:rsid w:val="001D27E2"/>
    <w:rsid w:val="001D3F82"/>
    <w:rsid w:val="001E3438"/>
    <w:rsid w:val="001E3F33"/>
    <w:rsid w:val="00252874"/>
    <w:rsid w:val="002531E5"/>
    <w:rsid w:val="002625AF"/>
    <w:rsid w:val="002702B9"/>
    <w:rsid w:val="0027236C"/>
    <w:rsid w:val="002A5EC5"/>
    <w:rsid w:val="002B2F14"/>
    <w:rsid w:val="002B4EBE"/>
    <w:rsid w:val="002F1341"/>
    <w:rsid w:val="002F1AD8"/>
    <w:rsid w:val="002F4FFE"/>
    <w:rsid w:val="00305B2B"/>
    <w:rsid w:val="00366192"/>
    <w:rsid w:val="003670D0"/>
    <w:rsid w:val="00382AC5"/>
    <w:rsid w:val="003872C7"/>
    <w:rsid w:val="00395295"/>
    <w:rsid w:val="003C4ED3"/>
    <w:rsid w:val="003D35E7"/>
    <w:rsid w:val="003F7898"/>
    <w:rsid w:val="00414077"/>
    <w:rsid w:val="004260C0"/>
    <w:rsid w:val="0046163C"/>
    <w:rsid w:val="004843D8"/>
    <w:rsid w:val="00485277"/>
    <w:rsid w:val="00487CCD"/>
    <w:rsid w:val="00487EFC"/>
    <w:rsid w:val="0049233E"/>
    <w:rsid w:val="00497687"/>
    <w:rsid w:val="004E0839"/>
    <w:rsid w:val="004E40F4"/>
    <w:rsid w:val="004F42F6"/>
    <w:rsid w:val="00520DD8"/>
    <w:rsid w:val="00523D79"/>
    <w:rsid w:val="00535A98"/>
    <w:rsid w:val="00577AB9"/>
    <w:rsid w:val="00594544"/>
    <w:rsid w:val="005C12A9"/>
    <w:rsid w:val="005E7A9B"/>
    <w:rsid w:val="0062042D"/>
    <w:rsid w:val="006B7CFD"/>
    <w:rsid w:val="006D4A85"/>
    <w:rsid w:val="006E5FEC"/>
    <w:rsid w:val="00712055"/>
    <w:rsid w:val="007219E8"/>
    <w:rsid w:val="00727AFD"/>
    <w:rsid w:val="00751094"/>
    <w:rsid w:val="007821A2"/>
    <w:rsid w:val="007864B7"/>
    <w:rsid w:val="007A0AB6"/>
    <w:rsid w:val="007A312B"/>
    <w:rsid w:val="007C5579"/>
    <w:rsid w:val="0080494C"/>
    <w:rsid w:val="008313A4"/>
    <w:rsid w:val="00845924"/>
    <w:rsid w:val="008A373C"/>
    <w:rsid w:val="008B0F6A"/>
    <w:rsid w:val="008B6269"/>
    <w:rsid w:val="008D1544"/>
    <w:rsid w:val="00901313"/>
    <w:rsid w:val="009120D3"/>
    <w:rsid w:val="009152A5"/>
    <w:rsid w:val="00946333"/>
    <w:rsid w:val="00953B11"/>
    <w:rsid w:val="00974B8D"/>
    <w:rsid w:val="009760B8"/>
    <w:rsid w:val="00980B67"/>
    <w:rsid w:val="00A247CC"/>
    <w:rsid w:val="00A5064F"/>
    <w:rsid w:val="00A867DA"/>
    <w:rsid w:val="00AF2CBE"/>
    <w:rsid w:val="00B37244"/>
    <w:rsid w:val="00B70BBE"/>
    <w:rsid w:val="00B86A6B"/>
    <w:rsid w:val="00B95A36"/>
    <w:rsid w:val="00BC2D3A"/>
    <w:rsid w:val="00BC75EB"/>
    <w:rsid w:val="00BE4A90"/>
    <w:rsid w:val="00C018A7"/>
    <w:rsid w:val="00C02C15"/>
    <w:rsid w:val="00C06F9E"/>
    <w:rsid w:val="00C63481"/>
    <w:rsid w:val="00C75065"/>
    <w:rsid w:val="00C90726"/>
    <w:rsid w:val="00CE420C"/>
    <w:rsid w:val="00CF18D8"/>
    <w:rsid w:val="00CF4350"/>
    <w:rsid w:val="00D047B5"/>
    <w:rsid w:val="00D13B70"/>
    <w:rsid w:val="00D1716B"/>
    <w:rsid w:val="00D20D59"/>
    <w:rsid w:val="00D249C3"/>
    <w:rsid w:val="00D551E1"/>
    <w:rsid w:val="00D56A6A"/>
    <w:rsid w:val="00D70D0D"/>
    <w:rsid w:val="00D86E54"/>
    <w:rsid w:val="00DC7396"/>
    <w:rsid w:val="00DD25F5"/>
    <w:rsid w:val="00DE0735"/>
    <w:rsid w:val="00E220EE"/>
    <w:rsid w:val="00E30FEB"/>
    <w:rsid w:val="00E54D83"/>
    <w:rsid w:val="00E64942"/>
    <w:rsid w:val="00E7324B"/>
    <w:rsid w:val="00E80449"/>
    <w:rsid w:val="00E82EDA"/>
    <w:rsid w:val="00EB4AEE"/>
    <w:rsid w:val="00EE7761"/>
    <w:rsid w:val="00EF0C0D"/>
    <w:rsid w:val="00F109B7"/>
    <w:rsid w:val="00F30C75"/>
    <w:rsid w:val="00F946F0"/>
    <w:rsid w:val="00F96C8A"/>
    <w:rsid w:val="00F96FF1"/>
    <w:rsid w:val="00FC1CA9"/>
    <w:rsid w:val="196F7A80"/>
    <w:rsid w:val="2D1A77BE"/>
    <w:rsid w:val="5E804AFE"/>
    <w:rsid w:val="777734E1"/>
    <w:rsid w:val="7BA06A66"/>
    <w:rsid w:val="7CAD3336"/>
    <w:rsid w:val="7CEA2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9F15B"/>
  <w15:docId w15:val="{4610E12C-FCC8-4FC4-AA6A-49CE8690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AR" w:eastAsia="es-A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pPr>
      <w:jc w:val="left"/>
    </w:pPr>
  </w:style>
  <w:style w:type="paragraph" w:styleId="Sangradetextonormal">
    <w:name w:val="Body Text Indent"/>
    <w:basedOn w:val="Normal"/>
    <w:link w:val="SangradetextonormalCar"/>
    <w:qFormat/>
    <w:pPr>
      <w:ind w:firstLineChars="200" w:firstLine="560"/>
    </w:pPr>
    <w:rPr>
      <w:kern w:val="10"/>
      <w:sz w:val="28"/>
    </w:rPr>
  </w:style>
  <w:style w:type="paragraph" w:styleId="Textodeglobo">
    <w:name w:val="Balloon Text"/>
    <w:basedOn w:val="Normal"/>
    <w:link w:val="TextodegloboCar"/>
    <w:rPr>
      <w:sz w:val="18"/>
      <w:szCs w:val="18"/>
    </w:rPr>
  </w:style>
  <w:style w:type="paragraph" w:styleId="Piedepgina">
    <w:name w:val="footer"/>
    <w:basedOn w:val="Normal"/>
    <w:qFormat/>
    <w:pPr>
      <w:tabs>
        <w:tab w:val="center" w:pos="4153"/>
        <w:tab w:val="right" w:pos="8306"/>
      </w:tabs>
      <w:snapToGrid w:val="0"/>
      <w:jc w:val="left"/>
    </w:pPr>
    <w:rPr>
      <w:sz w:val="18"/>
    </w:rPr>
  </w:style>
  <w:style w:type="paragraph" w:styleId="Encabezado">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nfasis">
    <w:name w:val="Emphasis"/>
    <w:basedOn w:val="Fuentedeprrafopredeter"/>
    <w:uiPriority w:val="20"/>
    <w:qFormat/>
    <w:rPr>
      <w:i/>
      <w:iCs/>
    </w:rPr>
  </w:style>
  <w:style w:type="character" w:styleId="Hipervnculo">
    <w:name w:val="Hyperlink"/>
    <w:uiPriority w:val="99"/>
    <w:unhideWhenUsed/>
    <w:qFormat/>
    <w:rPr>
      <w:color w:val="0000FF"/>
      <w:u w:val="single"/>
    </w:rPr>
  </w:style>
  <w:style w:type="character" w:customStyle="1" w:styleId="TextocomentarioCar">
    <w:name w:val="Texto comentario Car"/>
    <w:basedOn w:val="Fuentedeprrafopredeter"/>
    <w:link w:val="Textocomentario"/>
    <w:uiPriority w:val="99"/>
    <w:qFormat/>
    <w:rPr>
      <w:kern w:val="2"/>
      <w:sz w:val="21"/>
      <w:szCs w:val="24"/>
    </w:rPr>
  </w:style>
  <w:style w:type="character" w:customStyle="1" w:styleId="TextodegloboCar">
    <w:name w:val="Texto de globo Car"/>
    <w:basedOn w:val="Fuentedeprrafopredeter"/>
    <w:link w:val="Textodeglobo"/>
    <w:rPr>
      <w:kern w:val="2"/>
      <w:sz w:val="18"/>
      <w:szCs w:val="18"/>
    </w:rPr>
  </w:style>
  <w:style w:type="paragraph" w:customStyle="1" w:styleId="1">
    <w:name w:val="1"/>
    <w:basedOn w:val="Normal"/>
    <w:next w:val="Normal"/>
    <w:qFormat/>
    <w:pPr>
      <w:pageBreakBefore/>
      <w:numPr>
        <w:numId w:val="1"/>
      </w:numPr>
      <w:tabs>
        <w:tab w:val="left" w:pos="425"/>
      </w:tabs>
      <w:spacing w:line="400" w:lineRule="exact"/>
    </w:pPr>
    <w:rPr>
      <w:rFonts w:eastAsia="SimHei"/>
      <w:sz w:val="32"/>
      <w:szCs w:val="32"/>
    </w:rPr>
  </w:style>
  <w:style w:type="character" w:customStyle="1" w:styleId="a">
    <w:name w:val="批注文字 字符"/>
    <w:uiPriority w:val="99"/>
    <w:qFormat/>
    <w:rPr>
      <w:kern w:val="2"/>
      <w:sz w:val="21"/>
      <w:szCs w:val="24"/>
    </w:rPr>
  </w:style>
  <w:style w:type="character" w:customStyle="1" w:styleId="SangradetextonormalCar">
    <w:name w:val="Sangría de texto normal Car"/>
    <w:basedOn w:val="Fuentedeprrafopredeter"/>
    <w:link w:val="Sangradetextonormal"/>
    <w:qFormat/>
    <w:rPr>
      <w:kern w:val="10"/>
      <w:sz w:val="28"/>
      <w:szCs w:val="24"/>
    </w:rPr>
  </w:style>
  <w:style w:type="paragraph" w:styleId="Prrafodelista">
    <w:name w:val="List Paragraph"/>
    <w:basedOn w:val="Normal"/>
    <w:uiPriority w:val="99"/>
    <w:pPr>
      <w:ind w:firstLineChars="200" w:firstLine="420"/>
    </w:pPr>
  </w:style>
  <w:style w:type="character" w:customStyle="1" w:styleId="jlqj4b">
    <w:name w:val="jlqj4b"/>
    <w:basedOn w:val="Fuentedeprrafopredeter"/>
  </w:style>
  <w:style w:type="character" w:customStyle="1" w:styleId="viiyi">
    <w:name w:val="viiyi"/>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841</Words>
  <Characters>4964</Characters>
  <Application>Microsoft Office Word</Application>
  <DocSecurity>0</DocSecurity>
  <Lines>41</Lines>
  <Paragraphs>11</Paragraphs>
  <ScaleCrop>false</ScaleCrop>
  <Company>神州网信技术有限公司</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aibo</dc:creator>
  <cp:lastModifiedBy>Alumno</cp:lastModifiedBy>
  <cp:revision>25</cp:revision>
  <cp:lastPrinted>2021-02-20T06:04:00Z</cp:lastPrinted>
  <dcterms:created xsi:type="dcterms:W3CDTF">2021-10-18T02:16:00Z</dcterms:created>
  <dcterms:modified xsi:type="dcterms:W3CDTF">2021-11-24T19:55:00Z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